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方正小标宋_GBK" w:eastAsia="方正小标宋_GBK"/>
          <w:sz w:val="44"/>
        </w:rPr>
      </w:pPr>
      <w:r>
        <w:rPr>
          <w:rFonts w:hint="eastAsia" w:ascii="方正小标宋_GBK" w:hAnsi="方正小标宋_GBK" w:eastAsia="方正小标宋_GBK"/>
          <w:sz w:val="44"/>
        </w:rPr>
        <w:t>乌鲁木齐高新技术产业开发区（乌鲁木齐市新市区）工业和信息化局</w:t>
      </w:r>
    </w:p>
    <w:p>
      <w:pPr>
        <w:jc w:val="center"/>
        <w:rPr>
          <w:rFonts w:ascii="方正小标宋_GBK" w:hAnsi="宋体" w:eastAsia="方正小标宋_GBK"/>
          <w:sz w:val="44"/>
          <w:szCs w:val="44"/>
        </w:rPr>
      </w:pPr>
      <w:r>
        <w:rPr>
          <w:rFonts w:hint="eastAsia" w:ascii="方正小标宋_GBK" w:hAnsi="宋体" w:eastAsia="方正小标宋_GBK"/>
          <w:sz w:val="44"/>
          <w:szCs w:val="44"/>
        </w:rPr>
        <w:t>2022年度部门决算公开说明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6"/>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24028"/>
      <w:bookmarkStart w:id="1" w:name="_Toc32314"/>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pPr>
        <w:pStyle w:val="13"/>
        <w:adjustRightInd w:val="0"/>
        <w:snapToGrid w:val="0"/>
        <w:spacing w:line="560" w:lineRule="exact"/>
        <w:ind w:firstLine="640"/>
        <w:rPr>
          <w:rFonts w:hint="default" w:ascii="Times New Roman" w:eastAsia="Times New Roman"/>
          <w:kern w:val="0"/>
          <w:sz w:val="32"/>
        </w:rPr>
      </w:pPr>
      <w:r>
        <w:rPr>
          <w:rFonts w:ascii="Times New Roman" w:eastAsia="仿宋_GB2312"/>
          <w:kern w:val="0"/>
          <w:sz w:val="32"/>
        </w:rPr>
        <w:t>（一）贯彻执行国家、自治区、市和我区有关工业和信息化、大数据发展等方面的方针、政策和法律、法规，提出我区工业和信息化、大数据发展战略和政策建议，并组织实施和监督检查；协调解决工业化和信息化进程中的重大问题；推进产业结构战略性调整和优化升级，信息化和工业化融合。</w:t>
      </w:r>
    </w:p>
    <w:p>
      <w:pPr>
        <w:pStyle w:val="13"/>
        <w:adjustRightInd w:val="0"/>
        <w:snapToGrid w:val="0"/>
        <w:spacing w:line="560" w:lineRule="exact"/>
        <w:ind w:firstLine="640"/>
        <w:rPr>
          <w:rFonts w:hint="default" w:ascii="Times New Roman" w:eastAsia="Times New Roman"/>
          <w:kern w:val="0"/>
          <w:sz w:val="32"/>
        </w:rPr>
      </w:pPr>
      <w:r>
        <w:rPr>
          <w:rFonts w:ascii="Times New Roman" w:eastAsia="仿宋_GB2312"/>
          <w:kern w:val="0"/>
          <w:sz w:val="32"/>
        </w:rPr>
        <w:t>（二）拟订工业和信息化、大数据及数字经济发展规划、年度计划，拟订我区产业政策并组织实施和监督检查；拟订有关规范性文件并组织实施。</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（三）监测分析工业经济运行态势，进行预测预警和信息引导；组织协调解决工业经济运行中的重大问题并提出政策建议；负责工业经济运行和产业安全有关工作。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（四）负责工业和信息化领域各行业的管理，组织拟定行业专项规划、技术规范和标准；负责民用爆炸物品安全生产管理；指导、监督工业领域安全生产工作。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（五）负责工业和信息产业及信息化建设的技术改造投资管理；研究和规划技术改造项目投资方向，引导企业、金融机构及社会资金的投向；负责技术改造投资项目备案工作。</w:t>
      </w:r>
    </w:p>
    <w:p>
      <w:pPr>
        <w:pStyle w:val="13"/>
        <w:adjustRightInd w:val="0"/>
        <w:snapToGrid w:val="0"/>
        <w:spacing w:line="560" w:lineRule="exact"/>
        <w:ind w:firstLine="640"/>
        <w:rPr>
          <w:rFonts w:hint="default" w:ascii="Times New Roman" w:eastAsia="Times New Roman"/>
          <w:kern w:val="0"/>
          <w:sz w:val="32"/>
        </w:rPr>
      </w:pPr>
      <w:r>
        <w:rPr>
          <w:rFonts w:ascii="Times New Roman" w:eastAsia="仿宋_GB2312"/>
          <w:kern w:val="0"/>
          <w:sz w:val="32"/>
        </w:rPr>
        <w:t>（六）组织实施工业和信息化领域技术创新，推动技术创新和产学研相结合，推进相关科研成果产业化；负责实施国家、自治区、市重大产业技术开发项目；组织实施工业新产品开发、新技术推广等工作。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七）推进工业和信息化领域体制改革和管理创新；拟订促进中小企业发展的相关政策措施，指导中小企业改革与发展，推动建立完善服务体系及信用担保体系；参与上市公司的培育推荐；负责组织协调减轻企业负担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八）拟订并组织实施全区工业、信息化的能源节约和资源综合利用、清洁生产促进政策，参与拟订能源节约和资源综合利用、清洁生产促进规划，组织协调相关重大示范工程和新产品、新技术、新设备、新材料的推广应用。负责工业领域节能减排综合协调和监督管理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（九）统筹推进信息化应用推广工作；指导、协调经济社会各领域信息技术的推广应用工作；组织协调重点信息化工程；推进跨行业、跨部门面向社会服务的互联互通及重要信息资源开发利用和共享。</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（十）指导电子信息产业的发展；组织推进电子信息产品制造业、软件业、信息服务业的研发、生产；指导电子信息产业基地建设及结构调整工作。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（十一）统筹推进以大数据为引领的信息化建设工作，研究拟订并组织实施大数据战略、规划和政策措施，引导和推动大数据研究和应用工作。</w:t>
      </w:r>
    </w:p>
    <w:p>
      <w:pPr>
        <w:pStyle w:val="13"/>
        <w:adjustRightInd w:val="0"/>
        <w:snapToGrid w:val="0"/>
        <w:spacing w:line="560" w:lineRule="exact"/>
        <w:ind w:firstLine="640" w:firstLineChars="0"/>
        <w:rPr>
          <w:rFonts w:hint="default" w:ascii="Times New Roman" w:eastAsia="Times New Roman"/>
          <w:kern w:val="0"/>
          <w:sz w:val="32"/>
        </w:rPr>
      </w:pPr>
      <w:r>
        <w:rPr>
          <w:rFonts w:ascii="Times New Roman" w:eastAsia="仿宋_GB2312"/>
          <w:kern w:val="0"/>
          <w:sz w:val="32"/>
        </w:rPr>
        <w:t>（十二）拟订大数据采集、管理、开放、交易、应用等标准规范和考核体系；围绕“智慧城市”建设，推动建立全社会大数据形成机制；统筹推动大数据库建设；指导、协调各部门、各行业数据资源建设，统筹推进社会经济各领域大数据开发应用。</w:t>
      </w:r>
    </w:p>
    <w:p>
      <w:pPr>
        <w:ind w:firstLine="640" w:firstLineChars="200"/>
        <w:rPr>
          <w:rFonts w:ascii="仿宋_GB2312" w:eastAsia="仿宋_GB2312"/>
          <w:sz w:val="32"/>
          <w:szCs w:val="32"/>
        </w:rPr>
      </w:pPr>
      <w:r>
        <w:rPr>
          <w:rFonts w:hint="eastAsia" w:eastAsia="仿宋_GB2312"/>
          <w:kern w:val="0"/>
          <w:sz w:val="32"/>
        </w:rPr>
        <w:t>（十三）开展工业、信息化、大数据的对外合作与交流</w:t>
      </w:r>
      <w:r>
        <w:rPr>
          <w:rFonts w:hint="eastAsia" w:ascii="仿宋_GB2312" w:hAnsi="黑体" w:eastAsia="仿宋_GB2312"/>
          <w:kern w:val="0"/>
          <w:sz w:val="32"/>
        </w:rPr>
        <w:t>。</w:t>
      </w:r>
    </w:p>
    <w:p>
      <w:pPr>
        <w:ind w:firstLine="640" w:firstLineChars="200"/>
        <w:outlineLvl w:val="1"/>
        <w:rPr>
          <w:rFonts w:ascii="黑体" w:hAnsi="黑体" w:eastAsia="黑体" w:cs="宋体"/>
          <w:bCs/>
          <w:kern w:val="0"/>
          <w:sz w:val="32"/>
          <w:szCs w:val="32"/>
        </w:rPr>
      </w:pPr>
      <w:bookmarkStart w:id="4" w:name="_Toc31238"/>
      <w:bookmarkStart w:id="5" w:name="_Toc2151"/>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hAnsi="仿宋_GB2312" w:eastAsia="仿宋_GB2312"/>
          <w:kern w:val="0"/>
          <w:sz w:val="32"/>
        </w:rPr>
        <w:t>乌鲁木齐高新技术产业开发区（乌鲁木齐市新市区）工业和信息化局2022年度</w:t>
      </w:r>
      <w:r>
        <w:rPr>
          <w:rFonts w:hint="eastAsia" w:ascii="仿宋_GB2312" w:eastAsia="仿宋_GB2312"/>
          <w:sz w:val="32"/>
          <w:szCs w:val="32"/>
        </w:rPr>
        <w:t>，实有人数14人，其中：在职人员14人，离休人员0人，退休人员0人。</w:t>
      </w:r>
    </w:p>
    <w:p>
      <w:pPr>
        <w:ind w:firstLine="640" w:firstLineChars="200"/>
        <w:jc w:val="center"/>
        <w:rPr>
          <w:rFonts w:ascii="仿宋_GB2312" w:hAnsi="仿宋_GB2312" w:eastAsia="仿宋_GB2312"/>
          <w:kern w:val="0"/>
          <w:sz w:val="32"/>
        </w:rPr>
      </w:pPr>
      <w:r>
        <w:rPr>
          <w:rFonts w:hint="eastAsia" w:ascii="仿宋_GB2312" w:eastAsia="仿宋_GB2312"/>
          <w:sz w:val="32"/>
          <w:szCs w:val="32"/>
        </w:rPr>
        <w:t>从部门决算单位构成看，</w:t>
      </w:r>
      <w:r>
        <w:rPr>
          <w:rFonts w:hint="eastAsia" w:ascii="仿宋_GB2312" w:hAnsi="仿宋_GB2312" w:eastAsia="仿宋_GB2312"/>
          <w:kern w:val="0"/>
          <w:sz w:val="32"/>
        </w:rPr>
        <w:t>乌鲁木齐高新技术产业开发区（乌鲁木齐市新市区）工业和信息化局部门决算包括：乌鲁木齐高新技术产业开发区（乌鲁木齐市新市区）工业和信息</w:t>
      </w:r>
    </w:p>
    <w:p>
      <w:pPr>
        <w:jc w:val="center"/>
        <w:rPr>
          <w:rFonts w:ascii="黑体" w:hAnsi="黑体" w:eastAsia="黑体"/>
          <w:sz w:val="32"/>
          <w:szCs w:val="32"/>
        </w:rPr>
      </w:pPr>
      <w:r>
        <w:rPr>
          <w:rFonts w:hint="eastAsia" w:ascii="仿宋_GB2312" w:hAnsi="仿宋_GB2312" w:eastAsia="仿宋_GB2312"/>
          <w:kern w:val="0"/>
          <w:sz w:val="32"/>
        </w:rPr>
        <w:t>化局</w:t>
      </w:r>
      <w:r>
        <w:rPr>
          <w:rFonts w:hint="eastAsia" w:ascii="仿宋_GB2312" w:hAnsi="仿宋_GB2312" w:eastAsia="仿宋_GB2312"/>
          <w:kern w:val="0"/>
          <w:sz w:val="32"/>
          <w:lang w:val="zh-CN"/>
        </w:rPr>
        <w:t>决算。单位无下属预算单位，</w:t>
      </w:r>
      <w:r>
        <w:rPr>
          <w:rFonts w:hint="eastAsia" w:ascii="仿宋_GB2312" w:hAnsi="仿宋_GB2312" w:eastAsia="仿宋_GB2312"/>
          <w:kern w:val="0"/>
          <w:sz w:val="32"/>
        </w:rPr>
        <w:t>无下设</w:t>
      </w:r>
      <w:r>
        <w:rPr>
          <w:rFonts w:hint="eastAsia" w:ascii="仿宋_GB2312" w:hAnsi="仿宋_GB2312" w:eastAsia="仿宋_GB2312"/>
          <w:kern w:val="0"/>
          <w:sz w:val="32"/>
          <w:lang w:val="zh-CN"/>
        </w:rPr>
        <w:t>处室</w:t>
      </w:r>
      <w:r>
        <w:rPr>
          <w:rFonts w:hint="eastAsia" w:ascii="仿宋_GB2312" w:eastAsia="仿宋_GB2312"/>
          <w:sz w:val="32"/>
          <w:szCs w:val="32"/>
        </w:rPr>
        <w:t>。</w:t>
      </w:r>
      <w:bookmarkStart w:id="6" w:name="_Toc3092"/>
      <w:bookmarkStart w:id="7" w:name="_Toc29374"/>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hint="eastAsia" w:ascii="仿宋_GB2312" w:eastAsia="仿宋_GB2312"/>
          <w:sz w:val="32"/>
          <w:szCs w:val="32"/>
        </w:rPr>
        <w:t>2022年度收入总计3934.41万元，其中：本年收入合计3927.49万元，使用非财政拨款结余0.00万元，年初结转和结余6.92万元。收入总计与上年相比，增加1021.16万元，增长35.05%，主要原因是：项目资金增多。</w:t>
      </w:r>
    </w:p>
    <w:p>
      <w:pPr>
        <w:ind w:firstLine="640" w:firstLineChars="200"/>
        <w:rPr>
          <w:rFonts w:ascii="仿宋_GB2312" w:eastAsia="仿宋_GB2312"/>
          <w:sz w:val="32"/>
          <w:szCs w:val="32"/>
        </w:rPr>
      </w:pPr>
      <w:r>
        <w:rPr>
          <w:rFonts w:hint="eastAsia" w:ascii="仿宋_GB2312" w:eastAsia="仿宋_GB2312"/>
          <w:sz w:val="32"/>
          <w:szCs w:val="32"/>
        </w:rPr>
        <w:t>本年支出总计3934.41万元，其中：本年支出合计3929.46万元，结余分配0.00万元，年末结转和结余4.95万元。支出总计与上年相比，增加1021.16万元，增长35.05%，主要原因是：本年项目支出增加。</w:t>
      </w:r>
    </w:p>
    <w:p>
      <w:pPr>
        <w:ind w:firstLine="640" w:firstLineChars="200"/>
        <w:outlineLvl w:val="1"/>
        <w:rPr>
          <w:rFonts w:ascii="黑体" w:hAnsi="黑体" w:eastAsia="黑体" w:cs="宋体"/>
          <w:bCs/>
          <w:kern w:val="0"/>
          <w:sz w:val="32"/>
          <w:szCs w:val="32"/>
        </w:rPr>
      </w:pPr>
      <w:bookmarkStart w:id="10" w:name="_Toc12142"/>
      <w:bookmarkStart w:id="11" w:name="_Toc1979"/>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hint="eastAsia" w:ascii="仿宋_GB2312" w:eastAsia="仿宋_GB2312"/>
          <w:sz w:val="32"/>
          <w:szCs w:val="32"/>
        </w:rPr>
        <w:t>2022年度本年收入3927.49万元，其中：财政拨款收入3927.49万元，占100%；上级补助收入0.00万元，占0.00%；事业收入0.00万元，占0.00%；经营收入0.00万元，占0.00%；附属单位上缴收入0.00万元，占0.00%；其他收入0.00万元，占0.00%。</w:t>
      </w:r>
    </w:p>
    <w:p>
      <w:pPr>
        <w:ind w:firstLine="640" w:firstLineChars="200"/>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hint="eastAsia" w:ascii="仿宋_GB2312" w:eastAsia="仿宋_GB2312"/>
          <w:sz w:val="32"/>
          <w:szCs w:val="32"/>
        </w:rPr>
        <w:t>2022年度本年支出3929.46万元，其中：基本支出278.16万元，占7.08%；项目支出3651.30万元，占92.92%；上缴上级支出0.00万元，占0.00%；经营支出0.00万元，占0.00%；对附属单位补助支出0.00万元，占0.00%。</w:t>
      </w:r>
    </w:p>
    <w:p>
      <w:pPr>
        <w:ind w:firstLine="640" w:firstLineChars="200"/>
        <w:outlineLvl w:val="1"/>
        <w:rPr>
          <w:rFonts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hint="eastAsia" w:ascii="仿宋_GB2312" w:eastAsia="仿宋_GB2312"/>
          <w:sz w:val="32"/>
          <w:szCs w:val="32"/>
        </w:rPr>
        <w:t>2022年度财政拨款收入总计3934.41万元，其中：年初财政拨款结转和结余6.92万元，财政拨款本年收入3927.49万元。财政拨款收入总计与上年相比，增加1021.16万元，增长35.05%，主要原因是：项目资金增多。</w:t>
      </w:r>
    </w:p>
    <w:p>
      <w:pPr>
        <w:ind w:firstLine="640" w:firstLineChars="200"/>
        <w:rPr>
          <w:rFonts w:ascii="仿宋_GB2312" w:eastAsia="仿宋_GB2312"/>
          <w:sz w:val="32"/>
          <w:szCs w:val="32"/>
        </w:rPr>
      </w:pPr>
      <w:r>
        <w:rPr>
          <w:rFonts w:hint="eastAsia" w:ascii="仿宋_GB2312" w:eastAsia="仿宋_GB2312"/>
          <w:sz w:val="32"/>
          <w:szCs w:val="32"/>
        </w:rPr>
        <w:t>财政拨款支出总计3934.41万元，其中：年末财政拨款结转和结余4.95万元，财政拨款本年支出3929.46万元。财政拨款支出总计与上年相比，增加1021.16万元，增长35.05%，主要原因是：本年项目支出增加。</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与年初预算数相比情况：财政拨款收入总计年初预算数5049.53万元，决算数3934.41万元，预决算差异率-22.08%，主要原因是：因疫情</w:t>
      </w:r>
      <w:r>
        <w:rPr>
          <w:rFonts w:ascii="仿宋_GB2312" w:eastAsia="仿宋_GB2312"/>
          <w:sz w:val="32"/>
          <w:szCs w:val="32"/>
        </w:rPr>
        <w:t>原因，</w:t>
      </w:r>
      <w:r>
        <w:rPr>
          <w:rFonts w:hint="eastAsia" w:ascii="仿宋_GB2312" w:eastAsia="仿宋_GB2312"/>
          <w:sz w:val="32"/>
          <w:szCs w:val="32"/>
        </w:rPr>
        <w:t>纺织项目等未开展。财政拨款支出总计年初预算数5049.53万元，决算数3934.41万元，预决算差异率-22.08%，主要原因是：因疫情</w:t>
      </w:r>
      <w:r>
        <w:rPr>
          <w:rFonts w:ascii="仿宋_GB2312" w:eastAsia="仿宋_GB2312"/>
          <w:sz w:val="32"/>
          <w:szCs w:val="32"/>
        </w:rPr>
        <w:t>原因，</w:t>
      </w:r>
      <w:r>
        <w:rPr>
          <w:rFonts w:hint="eastAsia" w:ascii="仿宋_GB2312" w:eastAsia="仿宋_GB2312"/>
          <w:sz w:val="32"/>
          <w:szCs w:val="32"/>
        </w:rPr>
        <w:t>纺织项目等未开展。</w:t>
      </w:r>
    </w:p>
    <w:p>
      <w:pPr>
        <w:ind w:firstLine="640" w:firstLineChars="200"/>
        <w:outlineLvl w:val="1"/>
        <w:rPr>
          <w:rFonts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2022年度一般公共预算财政拨款支出3929.46万元，占本年支出合计的100.00%，与上年相比，增加1023.13万元，增长35.20%，主要原因是：本年项目支出增加。</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1.一般公共服务支出（类）</w:t>
      </w:r>
      <w:r>
        <w:rPr>
          <w:rFonts w:hint="eastAsia" w:ascii="仿宋_GB2312" w:eastAsia="仿宋_GB2312"/>
          <w:sz w:val="32"/>
          <w:szCs w:val="32"/>
        </w:rPr>
        <w:t>3.59</w:t>
      </w:r>
      <w:r>
        <w:rPr>
          <w:rFonts w:hint="eastAsia" w:ascii="仿宋_GB2312" w:hAnsi="仿宋_GB2312" w:eastAsia="仿宋_GB2312" w:cs="仿宋_GB2312"/>
          <w:kern w:val="0"/>
          <w:sz w:val="32"/>
          <w:szCs w:val="32"/>
        </w:rPr>
        <w:t>万元，占</w:t>
      </w:r>
      <w:r>
        <w:rPr>
          <w:rFonts w:hint="eastAsia" w:ascii="仿宋_GB2312" w:eastAsia="仿宋_GB2312"/>
          <w:sz w:val="32"/>
          <w:szCs w:val="32"/>
        </w:rPr>
        <w:t>0.09</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）23.38万元，占0.59%。</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3.节能环保支出（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）242.3万元，占6.17%。</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）3660.19万元，占93.15%。</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）政府办公厅（室）及相关机构事务(款)事业运行（项）:支出决算数为3.59万元，比上年决算增加3.59万元，增长100.00%，主要原因是：工作队补助列入此项。</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2.一般公共服务支出（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）发展与改革事务(款)一般行政管理事务（项）：</w:t>
      </w:r>
      <w:r>
        <w:rPr>
          <w:rFonts w:hint="eastAsia" w:ascii="仿宋_GB2312" w:eastAsia="仿宋_GB2312" w:cs="仿宋_GB2312"/>
          <w:kern w:val="0"/>
          <w:sz w:val="32"/>
          <w:szCs w:val="32"/>
        </w:rPr>
        <w:t>支出决算数为0万元，比上年减少3.31万元，下降100%，主要原因是：本年单位无此项支出。</w:t>
      </w:r>
    </w:p>
    <w:p>
      <w:pPr>
        <w:spacing w:line="600" w:lineRule="exact"/>
        <w:ind w:firstLine="640" w:firstLineChars="200"/>
        <w:rPr>
          <w:rFonts w:ascii="仿宋_GB2312" w:hAnsi="仿宋_GB2312" w:eastAsia="仿宋_GB2312" w:cs="仿宋_GB2312"/>
          <w:kern w:val="0"/>
          <w:sz w:val="32"/>
          <w:szCs w:val="32"/>
        </w:rPr>
      </w:pPr>
      <w:r>
        <w:rPr>
          <w:rFonts w:hint="eastAsia" w:ascii="仿宋_GB2312" w:eastAsia="仿宋_GB2312"/>
          <w:sz w:val="32"/>
        </w:rPr>
        <w:t>3.公共安全支出（类）其他公共安全支出（款）其他公共安全支出（项）:</w:t>
      </w:r>
      <w:r>
        <w:rPr>
          <w:rFonts w:hint="eastAsia" w:ascii="仿宋_GB2312" w:eastAsia="仿宋_GB2312" w:cs="仿宋_GB2312"/>
          <w:kern w:val="0"/>
          <w:sz w:val="32"/>
          <w:szCs w:val="32"/>
        </w:rPr>
        <w:t>支出决算数为0万元，比上年减少18.45万元，下降100%，主要原因是：本年单位无此项支出。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）行政事业单位养老支出(款)机关事业单位基本养老保险缴费支出（项）：23.38万元，比上年决算增加8.00万元，增长52.02%，主要原因是：社保基数增加。</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5.节能环保支出（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）能源节约利用(款)能源节约利用（项）：242.30万元，比上年决算减少255.17万元，下降51.29%，主要原因是：节能</w:t>
      </w:r>
      <w:r>
        <w:rPr>
          <w:rFonts w:ascii="仿宋_GB2312" w:hAnsi="仿宋_GB2312" w:eastAsia="仿宋_GB2312" w:cs="仿宋_GB2312"/>
          <w:kern w:val="0"/>
          <w:sz w:val="32"/>
          <w:szCs w:val="32"/>
        </w:rPr>
        <w:t>减排</w:t>
      </w:r>
      <w:r>
        <w:rPr>
          <w:rFonts w:hint="eastAsia" w:ascii="仿宋_GB2312" w:hAnsi="仿宋_GB2312" w:eastAsia="仿宋_GB2312" w:cs="仿宋_GB2312"/>
          <w:kern w:val="0"/>
          <w:sz w:val="32"/>
          <w:szCs w:val="32"/>
        </w:rPr>
        <w:t>项目支出减少。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）制造业（款）纺织业(项)：</w:t>
      </w:r>
      <w:r>
        <w:rPr>
          <w:rFonts w:hint="eastAsia" w:ascii="仿宋_GB2312" w:eastAsia="仿宋_GB2312" w:cs="仿宋_GB2312"/>
          <w:kern w:val="0"/>
          <w:sz w:val="32"/>
          <w:szCs w:val="32"/>
        </w:rPr>
        <w:t>支出决算数为0万元，比上年减少383.89万元，下降100%，主要原因是：本年单位无此项支出。</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）工业和信息产业监管 (款)行政运行（项）：251.19万元，比上年决算减少11.02万元，下降4.20%，主要原因是：人员减少。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）工业和信息产业监管（款）产业发展（项）170.00万元，比上年决算增加170.00万元，增长100.00%，主要原因是：战略性</w:t>
      </w:r>
      <w:r>
        <w:rPr>
          <w:rFonts w:ascii="仿宋_GB2312" w:hAnsi="仿宋_GB2312" w:eastAsia="仿宋_GB2312" w:cs="仿宋_GB2312"/>
          <w:kern w:val="0"/>
          <w:sz w:val="32"/>
          <w:szCs w:val="32"/>
        </w:rPr>
        <w:t>新兴</w:t>
      </w:r>
      <w:r>
        <w:rPr>
          <w:rFonts w:hint="eastAsia" w:ascii="仿宋_GB2312" w:hAnsi="仿宋_GB2312" w:eastAsia="仿宋_GB2312" w:cs="仿宋_GB2312"/>
          <w:kern w:val="0"/>
          <w:sz w:val="32"/>
          <w:szCs w:val="32"/>
        </w:rPr>
        <w:t>项目增加。</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）工业和信息产业监管 （款）其他工业和信息产业监管支出（项）：3239.00万元，比上年决算增加3233.64万元，增长60329.10%，主要原因是：先进</w:t>
      </w:r>
      <w:r>
        <w:rPr>
          <w:rFonts w:ascii="仿宋_GB2312" w:hAnsi="仿宋_GB2312" w:eastAsia="仿宋_GB2312" w:cs="仿宋_GB2312"/>
          <w:kern w:val="0"/>
          <w:sz w:val="32"/>
          <w:szCs w:val="32"/>
        </w:rPr>
        <w:t>制造业和现代服务业</w:t>
      </w:r>
      <w:r>
        <w:rPr>
          <w:rFonts w:hint="eastAsia" w:ascii="仿宋_GB2312" w:hAnsi="仿宋_GB2312" w:eastAsia="仿宋_GB2312" w:cs="仿宋_GB2312"/>
          <w:kern w:val="0"/>
          <w:sz w:val="32"/>
          <w:szCs w:val="32"/>
        </w:rPr>
        <w:t>项目增加。</w:t>
      </w:r>
    </w:p>
    <w:p>
      <w:pPr>
        <w:spacing w:line="600" w:lineRule="exact"/>
        <w:ind w:firstLine="640" w:firstLineChars="200"/>
        <w:rPr>
          <w:rFonts w:ascii="仿宋_GB2312" w:eastAsia="仿宋_GB2312" w:cs="仿宋_GB2312"/>
          <w:kern w:val="0"/>
          <w:sz w:val="32"/>
          <w:szCs w:val="32"/>
        </w:rPr>
      </w:pPr>
      <w:r>
        <w:rPr>
          <w:rFonts w:hint="eastAsia" w:ascii="仿宋_GB2312" w:hAnsi="仿宋_GB2312" w:eastAsia="仿宋_GB2312" w:cs="仿宋_GB2312"/>
          <w:kern w:val="0"/>
          <w:sz w:val="32"/>
          <w:szCs w:val="32"/>
        </w:rPr>
        <w:t>10.资源勘探工业信息等支出（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）支持中小企业发展和管理支出（款）支持中小企业发展和管理支出（项）:</w:t>
      </w:r>
      <w:r>
        <w:rPr>
          <w:rFonts w:hint="eastAsia" w:ascii="仿宋_GB2312" w:eastAsia="仿宋_GB2312" w:cs="仿宋_GB2312"/>
          <w:kern w:val="0"/>
          <w:sz w:val="32"/>
          <w:szCs w:val="32"/>
        </w:rPr>
        <w:t>支出决算数为0万元，比上年减少1527万元，下降100%，主要原因是：本年单位无此项支出。</w:t>
      </w:r>
    </w:p>
    <w:p>
      <w:pPr>
        <w:spacing w:line="60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11.</w:t>
      </w:r>
      <w:r>
        <w:rPr>
          <w:rFonts w:ascii="仿宋_GB2312" w:eastAsia="仿宋_GB2312" w:cs="仿宋_GB2312"/>
          <w:kern w:val="0"/>
          <w:sz w:val="32"/>
          <w:szCs w:val="32"/>
        </w:rPr>
        <w:t>商业服务业等支出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w:t>
      </w:r>
      <w:r>
        <w:rPr>
          <w:rFonts w:ascii="仿宋_GB2312" w:eastAsia="仿宋_GB2312" w:cs="仿宋_GB2312"/>
          <w:kern w:val="0"/>
          <w:sz w:val="32"/>
          <w:szCs w:val="32"/>
        </w:rPr>
        <w:t>商业流通事务</w:t>
      </w:r>
      <w:r>
        <w:rPr>
          <w:rFonts w:hint="eastAsia" w:ascii="仿宋_GB2312" w:hAnsi="仿宋_GB2312" w:eastAsia="仿宋_GB2312" w:cs="仿宋_GB2312"/>
          <w:kern w:val="0"/>
          <w:sz w:val="32"/>
          <w:szCs w:val="32"/>
        </w:rPr>
        <w:t>（款）</w:t>
      </w:r>
      <w:r>
        <w:rPr>
          <w:rFonts w:ascii="仿宋_GB2312" w:eastAsia="仿宋_GB2312" w:cs="仿宋_GB2312"/>
          <w:kern w:val="0"/>
          <w:sz w:val="32"/>
          <w:szCs w:val="32"/>
        </w:rPr>
        <w:t>其他商业流通事务支出</w:t>
      </w:r>
      <w:r>
        <w:rPr>
          <w:rFonts w:hint="eastAsia" w:ascii="仿宋_GB2312" w:hAnsi="仿宋_GB2312" w:eastAsia="仿宋_GB2312" w:cs="仿宋_GB2312"/>
          <w:kern w:val="0"/>
          <w:sz w:val="32"/>
          <w:szCs w:val="32"/>
        </w:rPr>
        <w:t>（项）:</w:t>
      </w:r>
      <w:r>
        <w:rPr>
          <w:rFonts w:hint="eastAsia" w:ascii="仿宋_GB2312" w:eastAsia="仿宋_GB2312" w:cs="仿宋_GB2312"/>
          <w:kern w:val="0"/>
          <w:sz w:val="32"/>
          <w:szCs w:val="32"/>
        </w:rPr>
        <w:t>支出决算数为0万元，比上年减少193.26万元，下降100%，主要原因是：本年单位无此项支出。</w:t>
      </w:r>
    </w:p>
    <w:p>
      <w:pPr>
        <w:ind w:firstLine="640" w:firstLineChars="200"/>
        <w:outlineLvl w:val="1"/>
        <w:rPr>
          <w:rFonts w:ascii="黑体" w:hAnsi="黑体" w:eastAsia="黑体" w:cs="宋体"/>
          <w:bCs/>
          <w:kern w:val="0"/>
          <w:sz w:val="32"/>
          <w:szCs w:val="32"/>
        </w:rPr>
      </w:pPr>
      <w:bookmarkStart w:id="18" w:name="_Toc30870"/>
      <w:bookmarkStart w:id="19" w:name="_Toc11146"/>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2022年度一般公共预算财政拨款基本支出278.16万元，其中：</w:t>
      </w:r>
    </w:p>
    <w:p>
      <w:pPr>
        <w:ind w:firstLine="640" w:firstLineChars="200"/>
        <w:rPr>
          <w:rFonts w:ascii="仿宋_GB2312" w:eastAsia="仿宋_GB2312"/>
          <w:sz w:val="32"/>
          <w:szCs w:val="32"/>
        </w:rPr>
      </w:pPr>
      <w:r>
        <w:rPr>
          <w:rFonts w:hint="eastAsia" w:ascii="仿宋_GB2312" w:eastAsia="仿宋_GB2312"/>
          <w:sz w:val="32"/>
          <w:szCs w:val="32"/>
        </w:rPr>
        <w:t>人员经费274.14万元，包括：基本工资64.24万元、津贴补贴102.53万元、奖金9.58万元、绩效工资27.67万元、机关事业单位基本养老保险缴费23.38万元、职工基本医疗保险缴费11.09万元、公务员医疗补助缴费2.47万元、其他社会保障缴费0.88万元、住房公积金22.02万元、其他工资福利支出10.28万元。</w:t>
      </w:r>
    </w:p>
    <w:p>
      <w:pPr>
        <w:ind w:firstLine="640" w:firstLineChars="200"/>
        <w:rPr>
          <w:rFonts w:ascii="仿宋_GB2312" w:eastAsia="仿宋_GB2312"/>
          <w:sz w:val="32"/>
          <w:szCs w:val="32"/>
        </w:rPr>
      </w:pPr>
      <w:r>
        <w:rPr>
          <w:rFonts w:hint="eastAsia" w:ascii="仿宋_GB2312" w:eastAsia="仿宋_GB2312"/>
          <w:sz w:val="32"/>
          <w:szCs w:val="32"/>
        </w:rPr>
        <w:t>公用经费4.02万元，包括：办公费0.28万元、电费0.50万元、邮电费0.43万元、取暖费0.08万元、工会经费2.41万元、其他商品和服务支出0.32万元。</w:t>
      </w:r>
    </w:p>
    <w:p>
      <w:pPr>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ascii="仿宋_GB2312" w:eastAsia="仿宋_GB2312"/>
          <w:sz w:val="32"/>
          <w:szCs w:val="32"/>
        </w:rPr>
      </w:pPr>
      <w:r>
        <w:rPr>
          <w:rFonts w:hint="eastAsia" w:ascii="仿宋_GB2312" w:eastAsia="仿宋_GB2312"/>
          <w:sz w:val="32"/>
          <w:szCs w:val="32"/>
        </w:rPr>
        <w:t>2022年度财政拨款“三公”经费支出决算0.00万元，比上年增加0.00万元，增长0.00%，主要原因是：</w:t>
      </w:r>
      <w:r>
        <w:rPr>
          <w:rFonts w:hint="eastAsia" w:ascii="仿宋_GB2312" w:hAnsi="仿宋_GB2312" w:eastAsia="仿宋_GB2312"/>
          <w:kern w:val="0"/>
          <w:sz w:val="32"/>
        </w:rPr>
        <w:t>单位无此项支出。</w:t>
      </w:r>
      <w:r>
        <w:rPr>
          <w:rFonts w:hint="eastAsia" w:ascii="仿宋_GB2312" w:eastAsia="仿宋_GB2312"/>
          <w:sz w:val="32"/>
          <w:szCs w:val="32"/>
        </w:rPr>
        <w:t>其中：因公出国（境）费支出0.00万元，占0.00%，比上年增加0.00万元，增长0.00%，主要原因是：</w:t>
      </w:r>
      <w:r>
        <w:rPr>
          <w:rFonts w:hint="eastAsia" w:ascii="仿宋_GB2312" w:hAnsi="仿宋_GB2312" w:eastAsia="仿宋_GB2312"/>
          <w:kern w:val="0"/>
          <w:sz w:val="32"/>
        </w:rPr>
        <w:t>本年单位无因公出国（境）费支出</w:t>
      </w:r>
      <w:r>
        <w:rPr>
          <w:rFonts w:hint="eastAsia" w:ascii="仿宋_GB2312" w:eastAsia="仿宋_GB2312"/>
          <w:sz w:val="32"/>
          <w:szCs w:val="32"/>
        </w:rPr>
        <w:t>；公务用车购置及运行维护费支出0.00万元，占0.00%，比上年增加0.00万元，增长0.00%，主要原因是：</w:t>
      </w:r>
      <w:r>
        <w:rPr>
          <w:rFonts w:hint="eastAsia" w:ascii="仿宋_GB2312" w:hAnsi="仿宋_GB2312" w:eastAsia="仿宋_GB2312"/>
          <w:kern w:val="0"/>
          <w:sz w:val="32"/>
        </w:rPr>
        <w:t>本年单位无公务用车购置及运行维护费支出</w:t>
      </w:r>
      <w:r>
        <w:rPr>
          <w:rFonts w:hint="eastAsia" w:ascii="仿宋_GB2312" w:eastAsia="仿宋_GB2312"/>
          <w:sz w:val="32"/>
          <w:szCs w:val="32"/>
        </w:rPr>
        <w:t>；公务接待费支出0.00万元，占0.00%，比上年增加0.00万元，增长0.00%，主要原因是：</w:t>
      </w:r>
      <w:r>
        <w:rPr>
          <w:rFonts w:hint="eastAsia" w:ascii="仿宋_GB2312" w:hAnsi="仿宋_GB2312" w:eastAsia="仿宋_GB2312"/>
          <w:kern w:val="0"/>
          <w:sz w:val="32"/>
        </w:rPr>
        <w:t>本年单位无公务接待费支出</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因公出国（境）费支出0万元，开支内容包括</w:t>
      </w:r>
      <w:r>
        <w:rPr>
          <w:rFonts w:hint="eastAsia" w:ascii="仿宋_GB2312" w:hAnsi="仿宋_GB2312" w:eastAsia="仿宋_GB2312"/>
          <w:kern w:val="0"/>
          <w:sz w:val="32"/>
        </w:rPr>
        <w:t>本年单位无因公出国（境）费支出</w:t>
      </w:r>
      <w:r>
        <w:rPr>
          <w:rFonts w:hint="eastAsia" w:ascii="仿宋_GB2312" w:eastAsia="仿宋_GB2312"/>
          <w:sz w:val="32"/>
          <w:szCs w:val="32"/>
        </w:rPr>
        <w:t>。单位全年安排的因公出国（境）团组0个，因公出国（境）0人次。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公务用车购置及运行维护费0.00万元，其中：公务用车购置费0.00万元，公务用车运行维护费0.00万元。公务用车运行维护费开支内容包括</w:t>
      </w:r>
      <w:r>
        <w:rPr>
          <w:rFonts w:hint="eastAsia" w:ascii="仿宋_GB2312" w:hAnsi="仿宋_GB2312" w:eastAsia="仿宋_GB2312"/>
          <w:kern w:val="0"/>
          <w:sz w:val="32"/>
        </w:rPr>
        <w:t>本年单位无公务用车购置及运行维护费支出</w:t>
      </w:r>
      <w:r>
        <w:rPr>
          <w:rFonts w:hint="eastAsia" w:ascii="仿宋_GB2312" w:eastAsia="仿宋_GB2312"/>
          <w:sz w:val="32"/>
          <w:szCs w:val="32"/>
        </w:rPr>
        <w:t>。公务用车购置数0辆，公务用车保有量0辆。</w:t>
      </w:r>
    </w:p>
    <w:p>
      <w:pPr>
        <w:ind w:firstLine="640" w:firstLineChars="200"/>
        <w:rPr>
          <w:rFonts w:ascii="仿宋_GB2312" w:eastAsia="仿宋_GB2312"/>
          <w:sz w:val="32"/>
          <w:szCs w:val="32"/>
        </w:rPr>
      </w:pPr>
      <w:r>
        <w:rPr>
          <w:rFonts w:hint="eastAsia" w:ascii="仿宋_GB2312" w:eastAsia="仿宋_GB2312"/>
          <w:sz w:val="32"/>
          <w:szCs w:val="32"/>
        </w:rPr>
        <w:t>公务接待费0.00万元，开支内容包括</w:t>
      </w:r>
      <w:r>
        <w:rPr>
          <w:rFonts w:hint="eastAsia" w:ascii="仿宋_GB2312" w:hAnsi="仿宋_GB2312" w:eastAsia="仿宋_GB2312"/>
          <w:kern w:val="0"/>
          <w:sz w:val="32"/>
        </w:rPr>
        <w:t>本年单位无公务接待费支出</w:t>
      </w:r>
      <w:r>
        <w:rPr>
          <w:rFonts w:hint="eastAsia" w:ascii="仿宋_GB2312" w:eastAsia="仿宋_GB2312"/>
          <w:sz w:val="32"/>
          <w:szCs w:val="32"/>
        </w:rPr>
        <w:t>。单位全年安排的国内公务接待0批次，0人次。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与全年预算数相比情况：“三公”经费支出全年预算数0.00万元，决算数0.00万元，预决算差异率0.00%，主要原因是：</w:t>
      </w:r>
      <w:r>
        <w:rPr>
          <w:rFonts w:hint="eastAsia" w:ascii="仿宋_GB2312" w:hAnsi="仿宋_GB2312" w:eastAsia="仿宋_GB2312"/>
          <w:kern w:val="0"/>
          <w:sz w:val="32"/>
        </w:rPr>
        <w:t>单位无此项支出</w:t>
      </w:r>
      <w:r>
        <w:rPr>
          <w:rFonts w:hint="eastAsia" w:ascii="仿宋_GB2312" w:eastAsia="仿宋_GB2312"/>
          <w:sz w:val="32"/>
          <w:szCs w:val="32"/>
        </w:rPr>
        <w:t>。</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w:t>
      </w:r>
      <w:r>
        <w:rPr>
          <w:rFonts w:hint="eastAsia" w:ascii="仿宋_GB2312" w:hAnsi="仿宋_GB2312" w:eastAsia="仿宋_GB2312"/>
          <w:kern w:val="0"/>
          <w:sz w:val="32"/>
        </w:rPr>
        <w:t>本年单位无因公出国（境）费支出</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w:t>
      </w:r>
      <w:r>
        <w:rPr>
          <w:rFonts w:hint="eastAsia" w:ascii="仿宋_GB2312" w:hAnsi="仿宋_GB2312" w:eastAsia="仿宋_GB2312"/>
          <w:kern w:val="0"/>
          <w:sz w:val="32"/>
        </w:rPr>
        <w:t>本年单位无公务用车购置费支出</w:t>
      </w:r>
      <w:r>
        <w:rPr>
          <w:rFonts w:hint="eastAsia" w:ascii="仿宋_GB2312" w:eastAsia="仿宋_GB2312"/>
          <w:sz w:val="32"/>
          <w:szCs w:val="32"/>
        </w:rPr>
        <w:t>；</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预算数0.00万元，决算数0.00万元，预决算差异率0.00%，主要原因是：</w:t>
      </w:r>
      <w:r>
        <w:rPr>
          <w:rFonts w:hint="eastAsia" w:ascii="仿宋_GB2312" w:hAnsi="仿宋_GB2312" w:eastAsia="仿宋_GB2312"/>
          <w:kern w:val="0"/>
          <w:sz w:val="32"/>
        </w:rPr>
        <w:t>本年单位无公务用车运行费支出</w:t>
      </w:r>
      <w:r>
        <w:rPr>
          <w:rFonts w:hint="eastAsia" w:ascii="仿宋_GB2312" w:eastAsia="仿宋_GB2312"/>
          <w:sz w:val="32"/>
          <w:szCs w:val="32"/>
        </w:rPr>
        <w:t>；</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预算数0.00万元，决算数0.00万元，预决算差异率0.00%，主要原因是：</w:t>
      </w:r>
      <w:r>
        <w:rPr>
          <w:rFonts w:hint="eastAsia" w:ascii="仿宋_GB2312" w:hAnsi="仿宋_GB2312" w:eastAsia="仿宋_GB2312"/>
          <w:kern w:val="0"/>
          <w:sz w:val="32"/>
        </w:rPr>
        <w:t>本年单位无公务接待费支出</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bookmarkStart w:id="22" w:name="_Toc7927"/>
      <w:bookmarkStart w:id="23" w:name="_Toc5810"/>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outlineLvl w:val="1"/>
        <w:rPr>
          <w:rFonts w:ascii="黑体" w:hAnsi="黑体" w:eastAsia="黑体" w:cs="宋体"/>
          <w:bCs/>
          <w:kern w:val="0"/>
          <w:sz w:val="32"/>
          <w:szCs w:val="32"/>
        </w:rPr>
      </w:pPr>
      <w:bookmarkStart w:id="24" w:name="_Toc7314"/>
      <w:bookmarkStart w:id="25" w:name="_Toc1235"/>
      <w:r>
        <w:rPr>
          <w:rFonts w:hint="eastAsia" w:ascii="黑体" w:hAnsi="黑体" w:eastAsia="黑体" w:cs="宋体"/>
          <w:bCs/>
          <w:kern w:val="0"/>
          <w:sz w:val="32"/>
          <w:szCs w:val="32"/>
        </w:rPr>
        <w:t>十、其他重要事项的情况说明</w:t>
      </w:r>
      <w:bookmarkEnd w:id="24"/>
      <w:bookmarkEnd w:id="25"/>
    </w:p>
    <w:p>
      <w:pPr>
        <w:ind w:firstLine="640" w:firstLineChars="200"/>
        <w:outlineLvl w:val="2"/>
        <w:rPr>
          <w:rFonts w:ascii="黑体" w:hAnsi="黑体" w:eastAsia="黑体"/>
          <w:sz w:val="32"/>
          <w:szCs w:val="32"/>
        </w:rPr>
      </w:pPr>
      <w:bookmarkStart w:id="26" w:name="_Toc14519"/>
      <w:bookmarkStart w:id="27" w:name="_Toc13105"/>
      <w:r>
        <w:rPr>
          <w:rFonts w:hint="eastAsia" w:ascii="黑体" w:hAnsi="黑体" w:eastAsia="黑体"/>
          <w:sz w:val="32"/>
          <w:szCs w:val="32"/>
        </w:rPr>
        <w:t>（一）机关运行经费支出情况</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2022年度</w:t>
      </w:r>
      <w:r>
        <w:rPr>
          <w:rFonts w:hint="eastAsia" w:ascii="仿宋_GB2312" w:hAnsi="仿宋_GB2312" w:eastAsia="仿宋_GB2312"/>
          <w:kern w:val="0"/>
          <w:sz w:val="32"/>
          <w:lang w:eastAsia="zh-CN"/>
        </w:rPr>
        <w:t>乌鲁木齐</w:t>
      </w:r>
      <w:r>
        <w:rPr>
          <w:rFonts w:hint="eastAsia" w:ascii="仿宋_GB2312" w:hAnsi="仿宋_GB2312" w:eastAsia="仿宋_GB2312"/>
          <w:kern w:val="0"/>
          <w:sz w:val="32"/>
        </w:rPr>
        <w:t>高新技术产业开发区（乌鲁木齐市新市区）工业和信息化局</w:t>
      </w:r>
      <w:r>
        <w:rPr>
          <w:rFonts w:hint="eastAsia" w:ascii="仿宋_GB2312" w:eastAsia="仿宋_GB2312"/>
          <w:sz w:val="32"/>
          <w:szCs w:val="32"/>
        </w:rPr>
        <w:t>机关运行经费支出4.02万元，比上年减少6.67万元，下降62.39%，主要原因是：下半年未安排此项支出。</w:t>
      </w:r>
    </w:p>
    <w:p>
      <w:pPr>
        <w:ind w:firstLine="640" w:firstLineChars="200"/>
        <w:outlineLvl w:val="2"/>
        <w:rPr>
          <w:rFonts w:ascii="黑体" w:hAnsi="黑体" w:eastAsia="黑体"/>
          <w:sz w:val="32"/>
          <w:szCs w:val="32"/>
        </w:rPr>
      </w:pPr>
      <w:bookmarkStart w:id="28" w:name="_Toc227"/>
      <w:bookmarkStart w:id="29" w:name="_Toc26704"/>
      <w:r>
        <w:rPr>
          <w:rFonts w:hint="eastAsia" w:ascii="黑体" w:hAnsi="黑体" w:eastAsia="黑体"/>
          <w:sz w:val="32"/>
          <w:szCs w:val="32"/>
        </w:rPr>
        <w:t>（二）政府采购情况</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2022年度政府采购支出总额0.00万元，其中：政府采购货物支出0.00万元、政府采购工程支出0.00万元、政府采购服务支出0.00万元。</w:t>
      </w:r>
    </w:p>
    <w:p>
      <w:pPr>
        <w:ind w:firstLine="640" w:firstLineChars="200"/>
        <w:rPr>
          <w:rFonts w:ascii="仿宋_GB2312" w:eastAsia="仿宋_GB2312"/>
          <w:sz w:val="32"/>
          <w:szCs w:val="32"/>
        </w:rPr>
      </w:pPr>
      <w:r>
        <w:rPr>
          <w:rFonts w:hint="eastAsia" w:ascii="仿宋_GB2312" w:eastAsia="仿宋_GB2312"/>
          <w:sz w:val="32"/>
          <w:szCs w:val="32"/>
        </w:rPr>
        <w:t>授予中小企业合</w:t>
      </w:r>
      <w:bookmarkStart w:id="54" w:name="_GoBack"/>
      <w:bookmarkEnd w:id="54"/>
      <w:r>
        <w:rPr>
          <w:rFonts w:hint="eastAsia" w:ascii="仿宋_GB2312" w:eastAsia="仿宋_GB2312"/>
          <w:sz w:val="32"/>
          <w:szCs w:val="32"/>
        </w:rPr>
        <w:t>同金额0.00万元，占政府采购支出总额的0.00%，其中：授予小微企业合同金额0.00万元，占政府采购支出总额的0.00%。</w:t>
      </w:r>
    </w:p>
    <w:p>
      <w:pPr>
        <w:ind w:firstLine="640" w:firstLineChars="200"/>
        <w:outlineLvl w:val="2"/>
        <w:rPr>
          <w:rFonts w:ascii="黑体" w:hAnsi="黑体" w:eastAsia="黑体"/>
          <w:sz w:val="32"/>
          <w:szCs w:val="32"/>
        </w:rPr>
      </w:pPr>
      <w:bookmarkStart w:id="30" w:name="_Toc4591"/>
      <w:bookmarkStart w:id="31" w:name="_Toc8391"/>
      <w:r>
        <w:rPr>
          <w:rFonts w:hint="eastAsia" w:ascii="黑体" w:hAnsi="黑体" w:eastAsia="黑体"/>
          <w:sz w:val="32"/>
          <w:szCs w:val="32"/>
        </w:rPr>
        <w:t>（三）国有资产占用情况说明</w:t>
      </w:r>
      <w:bookmarkEnd w:id="30"/>
      <w:bookmarkEnd w:id="31"/>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22.70万元，房屋0平方米，价值0.00万元。车辆0辆，价值0.00万元，其中：副部（省）级及以上领导用车0辆、主要领导干部用车0辆、机要通信用车0辆、应急保障用车0辆、执法执勤用车0辆、特种专业技术用车0辆、离退休干部用车0辆、其他用车0辆，主要是</w:t>
      </w:r>
      <w:r>
        <w:rPr>
          <w:rFonts w:ascii="仿宋_GB2312" w:eastAsia="仿宋_GB2312"/>
          <w:sz w:val="32"/>
          <w:szCs w:val="32"/>
        </w:rPr>
        <w:t>：</w:t>
      </w:r>
      <w:r>
        <w:rPr>
          <w:rFonts w:hint="eastAsia" w:ascii="仿宋_GB2312" w:eastAsia="仿宋_GB2312"/>
          <w:sz w:val="32"/>
          <w:szCs w:val="32"/>
        </w:rPr>
        <w:t>无其他用车；单价100万元（含）以上设备（不含车辆）0台（套）。</w:t>
      </w:r>
    </w:p>
    <w:p>
      <w:pPr>
        <w:ind w:firstLine="640" w:firstLineChars="200"/>
        <w:outlineLvl w:val="1"/>
        <w:rPr>
          <w:rFonts w:ascii="黑体" w:hAnsi="黑体" w:eastAsia="黑体" w:cs="宋体"/>
          <w:bCs/>
          <w:kern w:val="0"/>
          <w:sz w:val="32"/>
          <w:szCs w:val="32"/>
        </w:rPr>
      </w:pPr>
      <w:bookmarkStart w:id="32" w:name="_Toc435"/>
      <w:bookmarkStart w:id="33" w:name="_Toc11283"/>
      <w:r>
        <w:rPr>
          <w:rFonts w:hint="eastAsia" w:ascii="黑体" w:hAnsi="黑体" w:eastAsia="黑体" w:cs="宋体"/>
          <w:bCs/>
          <w:kern w:val="0"/>
          <w:sz w:val="32"/>
          <w:szCs w:val="32"/>
        </w:rPr>
        <w:t>十一、预算绩效的情况说明</w:t>
      </w:r>
      <w:bookmarkEnd w:id="32"/>
      <w:bookmarkEnd w:id="33"/>
    </w:p>
    <w:p>
      <w:pPr>
        <w:ind w:firstLine="640" w:firstLineChars="200"/>
        <w:rPr>
          <w:rFonts w:ascii="仿宋_GB2312" w:eastAsia="仿宋_GB2312"/>
          <w:sz w:val="32"/>
          <w:szCs w:val="32"/>
        </w:rPr>
      </w:pPr>
      <w:r>
        <w:rPr>
          <w:rFonts w:hint="eastAsia" w:ascii="仿宋_GB2312" w:eastAsia="仿宋_GB2312"/>
          <w:sz w:val="32"/>
          <w:szCs w:val="32"/>
        </w:rPr>
        <w:t>根据预算绩效管理要求，我单位2022年度开展预算绩效评价项目3个，全年预算数3651.30万元，全年执行数3651.30万元。预算绩效管理取得的成效：</w:t>
      </w:r>
      <w:r>
        <w:rPr>
          <w:rFonts w:hint="eastAsia" w:ascii="仿宋_GB2312" w:hAnsi="仿宋_GB2312" w:eastAsia="仿宋_GB2312"/>
          <w:kern w:val="0"/>
          <w:sz w:val="32"/>
        </w:rPr>
        <w:t>预算绩效管理取得的成效：一是实现预算和绩效管理一体化；二是着力提高财政资源配置效率和使用效益。发现的问题及原因：一是绩效管理理念有待进一步增强；二是预算绩效管理基础工作有待进一步加强。下一步改进措施:一是加大宣传力度 ， 强化绩效理念；二是加强业务培训 。具体项目自评情况附项目支出绩效自评表</w:t>
      </w:r>
      <w:r>
        <w:rPr>
          <w:rFonts w:hint="eastAsia" w:ascii="仿宋_GB2312" w:eastAsia="仿宋_GB2312"/>
          <w:sz w:val="32"/>
          <w:szCs w:val="32"/>
        </w:rPr>
        <w:t>。</w:t>
      </w:r>
    </w:p>
    <w:p>
      <w:pPr>
        <w:widowControl/>
        <w:jc w:val="center"/>
        <w:textAlignment w:val="center"/>
        <w:rPr>
          <w:rFonts w:ascii="宋体" w:hAnsi="宋体" w:cs="宋体"/>
          <w:b/>
          <w:color w:val="000000"/>
          <w:kern w:val="0"/>
          <w:sz w:val="32"/>
          <w:szCs w:val="32"/>
          <w:lang w:bidi="ar"/>
        </w:rPr>
        <w:sectPr>
          <w:footerReference r:id="rId3" w:type="default"/>
          <w:pgSz w:w="11906" w:h="16838"/>
          <w:pgMar w:top="1440" w:right="1800" w:bottom="1440" w:left="1800" w:header="851" w:footer="992" w:gutter="0"/>
          <w:cols w:space="720" w:num="1"/>
          <w:docGrid w:type="lines" w:linePitch="312" w:charSpace="0"/>
        </w:sectPr>
      </w:pPr>
    </w:p>
    <w:tbl>
      <w:tblPr>
        <w:tblStyle w:val="8"/>
        <w:tblW w:w="9114" w:type="dxa"/>
        <w:tblInd w:w="0" w:type="dxa"/>
        <w:tblLayout w:type="fixed"/>
        <w:tblCellMar>
          <w:top w:w="0" w:type="dxa"/>
          <w:left w:w="0" w:type="dxa"/>
          <w:bottom w:w="0" w:type="dxa"/>
          <w:right w:w="0" w:type="dxa"/>
        </w:tblCellMar>
      </w:tblPr>
      <w:tblGrid>
        <w:gridCol w:w="875"/>
        <w:gridCol w:w="875"/>
        <w:gridCol w:w="1196"/>
        <w:gridCol w:w="579"/>
        <w:gridCol w:w="930"/>
        <w:gridCol w:w="956"/>
        <w:gridCol w:w="897"/>
        <w:gridCol w:w="86"/>
        <w:gridCol w:w="685"/>
        <w:gridCol w:w="282"/>
        <w:gridCol w:w="535"/>
        <w:gridCol w:w="459"/>
        <w:gridCol w:w="759"/>
      </w:tblGrid>
      <w:tr>
        <w:tblPrEx>
          <w:tblCellMar>
            <w:top w:w="0" w:type="dxa"/>
            <w:left w:w="0" w:type="dxa"/>
            <w:bottom w:w="0" w:type="dxa"/>
            <w:right w:w="0" w:type="dxa"/>
          </w:tblCellMar>
        </w:tblPrEx>
        <w:trPr>
          <w:trHeight w:val="23" w:hRule="atLeast"/>
        </w:trPr>
        <w:tc>
          <w:tcPr>
            <w:tcW w:w="9114" w:type="dxa"/>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项目支出绩效自评表</w:t>
            </w:r>
          </w:p>
        </w:tc>
      </w:tr>
      <w:tr>
        <w:tblPrEx>
          <w:tblCellMar>
            <w:top w:w="0" w:type="dxa"/>
            <w:left w:w="0" w:type="dxa"/>
            <w:bottom w:w="0" w:type="dxa"/>
            <w:right w:w="0" w:type="dxa"/>
          </w:tblCellMar>
        </w:tblPrEx>
        <w:trPr>
          <w:trHeight w:val="23" w:hRule="atLeast"/>
        </w:trPr>
        <w:tc>
          <w:tcPr>
            <w:tcW w:w="9114" w:type="dxa"/>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CellMar>
            <w:top w:w="0" w:type="dxa"/>
            <w:left w:w="0" w:type="dxa"/>
            <w:bottom w:w="0" w:type="dxa"/>
            <w:right w:w="0" w:type="dxa"/>
          </w:tblCellMar>
        </w:tblPrEx>
        <w:trPr>
          <w:trHeight w:val="23"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36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2021年自治区工业节能减排专项资金</w:t>
            </w:r>
          </w:p>
        </w:tc>
      </w:tr>
      <w:tr>
        <w:tblPrEx>
          <w:tblCellMar>
            <w:top w:w="0" w:type="dxa"/>
            <w:left w:w="0" w:type="dxa"/>
            <w:bottom w:w="0" w:type="dxa"/>
            <w:right w:w="0" w:type="dxa"/>
          </w:tblCellMar>
        </w:tblPrEx>
        <w:trPr>
          <w:trHeight w:val="23" w:hRule="atLeast"/>
        </w:trPr>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36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w:t>
            </w:r>
          </w:p>
        </w:tc>
        <w:tc>
          <w:tcPr>
            <w:tcW w:w="27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r>
      <w:tr>
        <w:tblPrEx>
          <w:tblCellMar>
            <w:top w:w="0" w:type="dxa"/>
            <w:left w:w="0" w:type="dxa"/>
            <w:bottom w:w="0" w:type="dxa"/>
            <w:right w:w="0" w:type="dxa"/>
          </w:tblCellMar>
        </w:tblPrEx>
        <w:trPr>
          <w:trHeight w:val="23" w:hRule="atLeast"/>
        </w:trPr>
        <w:tc>
          <w:tcPr>
            <w:tcW w:w="1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年初预算数</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0" w:type="dxa"/>
            <w:bottom w:w="0" w:type="dxa"/>
            <w:right w:w="0" w:type="dxa"/>
          </w:tblCellMar>
        </w:tblPrEx>
        <w:trPr>
          <w:trHeight w:val="23"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10.00分</w:t>
            </w:r>
          </w:p>
        </w:tc>
      </w:tr>
      <w:tr>
        <w:tblPrEx>
          <w:tblCellMar>
            <w:top w:w="0" w:type="dxa"/>
            <w:left w:w="0" w:type="dxa"/>
            <w:bottom w:w="0" w:type="dxa"/>
            <w:right w:w="0" w:type="dxa"/>
          </w:tblCellMar>
        </w:tblPrEx>
        <w:trPr>
          <w:trHeight w:val="23"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其中：当年财政拨款</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242.30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上年结转资金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w:t>
            </w: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w:t>
            </w:r>
          </w:p>
        </w:tc>
        <w:tc>
          <w:tcPr>
            <w:tcW w:w="37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实际完成情况</w:t>
            </w: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5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我单位对符合工业节能减排政策的7家企业发放奖励资金242.3万元，检查频次15次/年。通过项目的实施，鼓励企业查找节能潜力，提升能效和节能管理水平，促进工业能效提升和绿色发展。</w:t>
            </w:r>
          </w:p>
        </w:tc>
        <w:tc>
          <w:tcPr>
            <w:tcW w:w="37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我单位对符合工业节能减排政策的7家企业发放奖励资金242.3万元，检查频次15次/年。通过项目的实施，鼓励企业查找节能潜力，提升能效和节能管理水平，促进工业能效提升和绿色发展。使企业达到国家行业节能降耗标准。受益企业满意度95%。</w:t>
            </w:r>
          </w:p>
        </w:tc>
      </w:tr>
      <w:tr>
        <w:tblPrEx>
          <w:tblCellMar>
            <w:top w:w="0" w:type="dxa"/>
            <w:left w:w="0" w:type="dxa"/>
            <w:bottom w:w="0" w:type="dxa"/>
            <w:right w:w="0" w:type="dxa"/>
          </w:tblCellMar>
        </w:tblPrEx>
        <w:trPr>
          <w:trHeight w:val="312"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kern w:val="0"/>
                <w:sz w:val="18"/>
                <w:szCs w:val="18"/>
                <w:lang w:bidi="ar"/>
              </w:rPr>
            </w:pPr>
          </w:p>
        </w:tc>
      </w:tr>
      <w:tr>
        <w:tblPrEx>
          <w:tblCellMar>
            <w:top w:w="0" w:type="dxa"/>
            <w:left w:w="0" w:type="dxa"/>
            <w:bottom w:w="0" w:type="dxa"/>
            <w:right w:w="0" w:type="dxa"/>
          </w:tblCellMar>
        </w:tblPrEx>
        <w:trPr>
          <w:trHeight w:val="312"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1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7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2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偏差原因分析及改进措施</w:t>
            </w:r>
          </w:p>
        </w:tc>
      </w:tr>
      <w:tr>
        <w:tblPrEx>
          <w:tblCellMar>
            <w:top w:w="0" w:type="dxa"/>
            <w:left w:w="0" w:type="dxa"/>
            <w:bottom w:w="0" w:type="dxa"/>
            <w:right w:w="0" w:type="dxa"/>
          </w:tblCellMar>
        </w:tblPrEx>
        <w:trPr>
          <w:trHeight w:val="312"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2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扶持企业数</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7家</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其中一家为我局奖励资金，所用来支付的第三方服务机构拨付手续暂不完整。</w:t>
            </w: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检查频次</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&gt;=15次/年</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15次/年</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项目验收合格率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抽查覆盖率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资金支付及时率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项目完成时间</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2022年12月31日</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2022年12月31日</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企业扶持资金标准</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&lt;=34.61万元/家</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34.61万元/家</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检测结果公开率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问题整改落实率</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工业企业绿色发展意识</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有效提高</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持续保护环境时限</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长期</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企业满意度</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&gt;=95%</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63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100.00分</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bl>
    <w:p>
      <w:pPr>
        <w:ind w:firstLine="640" w:firstLineChars="200"/>
        <w:rPr>
          <w:rFonts w:ascii="仿宋_GB2312" w:eastAsia="仿宋_GB2312"/>
          <w:sz w:val="32"/>
          <w:szCs w:val="32"/>
        </w:rPr>
      </w:pPr>
      <w:r>
        <w:rPr>
          <w:rFonts w:hint="eastAsia" w:ascii="仿宋_GB2312" w:eastAsia="仿宋_GB2312"/>
          <w:sz w:val="32"/>
          <w:szCs w:val="32"/>
        </w:rPr>
        <w:br w:type="page"/>
      </w:r>
    </w:p>
    <w:tbl>
      <w:tblPr>
        <w:tblStyle w:val="8"/>
        <w:tblW w:w="9114" w:type="dxa"/>
        <w:tblInd w:w="0" w:type="dxa"/>
        <w:tblLayout w:type="fixed"/>
        <w:tblCellMar>
          <w:top w:w="0" w:type="dxa"/>
          <w:left w:w="0" w:type="dxa"/>
          <w:bottom w:w="0" w:type="dxa"/>
          <w:right w:w="0" w:type="dxa"/>
        </w:tblCellMar>
      </w:tblPr>
      <w:tblGrid>
        <w:gridCol w:w="571"/>
        <w:gridCol w:w="573"/>
        <w:gridCol w:w="884"/>
        <w:gridCol w:w="1066"/>
        <w:gridCol w:w="1125"/>
        <w:gridCol w:w="1153"/>
        <w:gridCol w:w="843"/>
        <w:gridCol w:w="732"/>
        <w:gridCol w:w="151"/>
        <w:gridCol w:w="572"/>
        <w:gridCol w:w="296"/>
        <w:gridCol w:w="443"/>
        <w:gridCol w:w="425"/>
        <w:gridCol w:w="280"/>
      </w:tblGrid>
      <w:tr>
        <w:tblPrEx>
          <w:tblCellMar>
            <w:top w:w="0" w:type="dxa"/>
            <w:left w:w="0" w:type="dxa"/>
            <w:bottom w:w="0" w:type="dxa"/>
            <w:right w:w="0" w:type="dxa"/>
          </w:tblCellMar>
        </w:tblPrEx>
        <w:trPr>
          <w:trHeight w:val="674" w:hRule="atLeast"/>
        </w:trPr>
        <w:tc>
          <w:tcPr>
            <w:tcW w:w="9114" w:type="dxa"/>
            <w:gridSpan w:val="14"/>
            <w:tcBorders>
              <w:top w:val="nil"/>
              <w:left w:val="nil"/>
              <w:bottom w:val="nil"/>
              <w:right w:val="nil"/>
            </w:tcBorders>
            <w:shd w:val="clear" w:color="auto" w:fill="auto"/>
            <w:tcMar>
              <w:top w:w="15" w:type="dxa"/>
              <w:left w:w="15" w:type="dxa"/>
              <w:right w:w="15" w:type="dxa"/>
            </w:tcMar>
            <w:vAlign w:val="center"/>
          </w:tcPr>
          <w:p>
            <w:pPr>
              <w:ind w:firstLine="640" w:firstLineChars="200"/>
              <w:jc w:val="center"/>
              <w:rPr>
                <w:rFonts w:ascii="宋体" w:hAnsi="宋体" w:cs="宋体"/>
                <w:b/>
                <w:color w:val="000000"/>
                <w:sz w:val="18"/>
                <w:szCs w:val="18"/>
              </w:rPr>
            </w:pPr>
            <w:r>
              <w:rPr>
                <w:rFonts w:hint="eastAsia" w:ascii="仿宋_GB2312" w:eastAsia="仿宋_GB2312"/>
                <w:sz w:val="32"/>
                <w:szCs w:val="32"/>
              </w:rPr>
              <w:br w:type="page"/>
            </w:r>
            <w:r>
              <w:rPr>
                <w:rFonts w:hint="eastAsia" w:ascii="宋体" w:hAnsi="宋体" w:cs="宋体"/>
                <w:b/>
                <w:color w:val="000000"/>
                <w:kern w:val="0"/>
                <w:sz w:val="32"/>
                <w:szCs w:val="32"/>
                <w:lang w:bidi="ar"/>
              </w:rPr>
              <w:t>项目支出绩效自评表</w:t>
            </w:r>
          </w:p>
        </w:tc>
      </w:tr>
      <w:tr>
        <w:tblPrEx>
          <w:tblCellMar>
            <w:top w:w="0" w:type="dxa"/>
            <w:left w:w="0" w:type="dxa"/>
            <w:bottom w:w="0" w:type="dxa"/>
            <w:right w:w="0" w:type="dxa"/>
          </w:tblCellMar>
        </w:tblPrEx>
        <w:trPr>
          <w:trHeight w:val="352" w:hRule="atLeast"/>
        </w:trPr>
        <w:tc>
          <w:tcPr>
            <w:tcW w:w="9114"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(2022年度)</w:t>
            </w:r>
          </w:p>
        </w:tc>
      </w:tr>
      <w:tr>
        <w:tblPrEx>
          <w:tblCellMar>
            <w:top w:w="0" w:type="dxa"/>
            <w:left w:w="0" w:type="dxa"/>
            <w:bottom w:w="0" w:type="dxa"/>
            <w:right w:w="0" w:type="dxa"/>
          </w:tblCellMar>
        </w:tblPrEx>
        <w:trPr>
          <w:trHeight w:val="23"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96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支持先进制造业和现代服务业发展专项</w:t>
            </w:r>
          </w:p>
        </w:tc>
      </w:tr>
      <w:tr>
        <w:tblPrEx>
          <w:tblCellMar>
            <w:top w:w="0" w:type="dxa"/>
            <w:left w:w="0" w:type="dxa"/>
            <w:bottom w:w="0" w:type="dxa"/>
            <w:right w:w="0" w:type="dxa"/>
          </w:tblCellMar>
        </w:tblPrEx>
        <w:trPr>
          <w:trHeight w:val="23" w:hRule="atLeast"/>
        </w:trPr>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2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w:t>
            </w:r>
          </w:p>
        </w:tc>
        <w:tc>
          <w:tcPr>
            <w:tcW w:w="216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r>
      <w:tr>
        <w:tblPrEx>
          <w:tblCellMar>
            <w:top w:w="0" w:type="dxa"/>
            <w:left w:w="0" w:type="dxa"/>
            <w:bottom w:w="0" w:type="dxa"/>
            <w:right w:w="0" w:type="dxa"/>
          </w:tblCellMar>
        </w:tblPrEx>
        <w:trPr>
          <w:trHeight w:val="23" w:hRule="atLeast"/>
        </w:trPr>
        <w:tc>
          <w:tcPr>
            <w:tcW w:w="1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年初预算数</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0" w:type="dxa"/>
            <w:bottom w:w="0" w:type="dxa"/>
            <w:right w:w="0" w:type="dxa"/>
          </w:tblCellMar>
        </w:tblPrEx>
        <w:trPr>
          <w:trHeight w:val="2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3239.00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3239.00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10.00分</w:t>
            </w:r>
          </w:p>
        </w:tc>
      </w:tr>
      <w:tr>
        <w:tblPrEx>
          <w:tblCellMar>
            <w:top w:w="0" w:type="dxa"/>
            <w:left w:w="0" w:type="dxa"/>
            <w:bottom w:w="0" w:type="dxa"/>
            <w:right w:w="0" w:type="dxa"/>
          </w:tblCellMar>
        </w:tblPrEx>
        <w:trPr>
          <w:trHeight w:val="2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其中：当年财政拨款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3239.00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3239.00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上年结转资金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w:t>
            </w:r>
          </w:p>
        </w:tc>
        <w:tc>
          <w:tcPr>
            <w:tcW w:w="48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w:t>
            </w:r>
          </w:p>
        </w:tc>
        <w:tc>
          <w:tcPr>
            <w:tcW w:w="37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实际完成情况</w:t>
            </w: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8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涉密项目</w:t>
            </w:r>
          </w:p>
        </w:tc>
        <w:tc>
          <w:tcPr>
            <w:tcW w:w="374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已按照计划安排，完成企业拨付。</w:t>
            </w:r>
          </w:p>
        </w:tc>
      </w:tr>
      <w:tr>
        <w:tblPrEx>
          <w:tblCellMar>
            <w:top w:w="0" w:type="dxa"/>
            <w:left w:w="0" w:type="dxa"/>
            <w:bottom w:w="0" w:type="dxa"/>
            <w:right w:w="0" w:type="dxa"/>
          </w:tblCellMar>
        </w:tblPrEx>
        <w:trPr>
          <w:trHeight w:val="23"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884"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1066"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1125"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1153"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8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151"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571"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296"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43"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24"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2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312"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33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7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7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偏差原因分析及改进措施</w:t>
            </w:r>
          </w:p>
        </w:tc>
      </w:tr>
      <w:tr>
        <w:tblPrEx>
          <w:tblCellMar>
            <w:top w:w="0" w:type="dxa"/>
            <w:left w:w="0" w:type="dxa"/>
            <w:bottom w:w="0" w:type="dxa"/>
            <w:right w:w="0" w:type="dxa"/>
          </w:tblCellMar>
        </w:tblPrEx>
        <w:trPr>
          <w:trHeight w:val="312"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33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扶持企业数</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=1家</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1家</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项目验收合格率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资金支付及时率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年产3万吨高强度石墨烯合金电缆产业化项目补贴标准</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&lt;=1408万元</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1408万元</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铝基新材料智能制造项目补贴标准</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&lt;=1831万元</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1831万元</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检测结果公开率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34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收益企业满意率</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&gt;=95%</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06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112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115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2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694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100.00分</w:t>
            </w:r>
          </w:p>
        </w:tc>
        <w:tc>
          <w:tcPr>
            <w:tcW w:w="7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bl>
    <w:p>
      <w:pPr>
        <w:rPr>
          <w:rFonts w:ascii="仿宋_GB2312" w:eastAsia="仿宋_GB2312"/>
          <w:sz w:val="32"/>
          <w:szCs w:val="32"/>
        </w:rPr>
      </w:pPr>
    </w:p>
    <w:tbl>
      <w:tblPr>
        <w:tblStyle w:val="8"/>
        <w:tblW w:w="9114" w:type="dxa"/>
        <w:tblInd w:w="0" w:type="dxa"/>
        <w:tblLayout w:type="fixed"/>
        <w:tblCellMar>
          <w:top w:w="0" w:type="dxa"/>
          <w:left w:w="0" w:type="dxa"/>
          <w:bottom w:w="0" w:type="dxa"/>
          <w:right w:w="0" w:type="dxa"/>
        </w:tblCellMar>
      </w:tblPr>
      <w:tblGrid>
        <w:gridCol w:w="516"/>
        <w:gridCol w:w="817"/>
        <w:gridCol w:w="825"/>
        <w:gridCol w:w="739"/>
        <w:gridCol w:w="1474"/>
        <w:gridCol w:w="600"/>
        <w:gridCol w:w="740"/>
        <w:gridCol w:w="678"/>
        <w:gridCol w:w="419"/>
        <w:gridCol w:w="286"/>
        <w:gridCol w:w="409"/>
        <w:gridCol w:w="448"/>
        <w:gridCol w:w="401"/>
        <w:gridCol w:w="762"/>
      </w:tblGrid>
      <w:tr>
        <w:tblPrEx>
          <w:tblCellMar>
            <w:top w:w="0" w:type="dxa"/>
            <w:left w:w="0" w:type="dxa"/>
            <w:bottom w:w="0" w:type="dxa"/>
            <w:right w:w="0" w:type="dxa"/>
          </w:tblCellMar>
        </w:tblPrEx>
        <w:trPr>
          <w:trHeight w:val="615" w:hRule="atLeast"/>
        </w:trPr>
        <w:tc>
          <w:tcPr>
            <w:tcW w:w="9114"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项目支出绩效自评表</w:t>
            </w:r>
          </w:p>
        </w:tc>
      </w:tr>
      <w:tr>
        <w:tblPrEx>
          <w:tblCellMar>
            <w:top w:w="0" w:type="dxa"/>
            <w:left w:w="0" w:type="dxa"/>
            <w:bottom w:w="0" w:type="dxa"/>
            <w:right w:w="0" w:type="dxa"/>
          </w:tblCellMar>
        </w:tblPrEx>
        <w:trPr>
          <w:trHeight w:val="315" w:hRule="atLeast"/>
        </w:trPr>
        <w:tc>
          <w:tcPr>
            <w:tcW w:w="9114"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(2022年度)</w:t>
            </w:r>
          </w:p>
        </w:tc>
      </w:tr>
      <w:tr>
        <w:tblPrEx>
          <w:tblCellMar>
            <w:top w:w="0" w:type="dxa"/>
            <w:left w:w="0" w:type="dxa"/>
            <w:bottom w:w="0" w:type="dxa"/>
            <w:right w:w="0" w:type="dxa"/>
          </w:tblCellMar>
        </w:tblPrEx>
        <w:trPr>
          <w:trHeight w:val="23" w:hRule="atLeast"/>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778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2021年自治区战略性新兴产业专项资金</w:t>
            </w:r>
          </w:p>
        </w:tc>
      </w:tr>
      <w:tr>
        <w:tblPrEx>
          <w:tblCellMar>
            <w:top w:w="0" w:type="dxa"/>
            <w:left w:w="0" w:type="dxa"/>
            <w:bottom w:w="0" w:type="dxa"/>
            <w:right w:w="0" w:type="dxa"/>
          </w:tblCellMar>
        </w:tblPrEx>
        <w:trPr>
          <w:trHeight w:val="23" w:hRule="atLeast"/>
        </w:trPr>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主管部门</w:t>
            </w:r>
          </w:p>
        </w:tc>
        <w:tc>
          <w:tcPr>
            <w:tcW w:w="43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实施单位</w:t>
            </w:r>
          </w:p>
        </w:tc>
        <w:tc>
          <w:tcPr>
            <w:tcW w:w="23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工业和信息化局</w:t>
            </w:r>
          </w:p>
        </w:tc>
      </w:tr>
      <w:tr>
        <w:tblPrEx>
          <w:tblCellMar>
            <w:top w:w="0" w:type="dxa"/>
            <w:left w:w="0" w:type="dxa"/>
            <w:bottom w:w="0" w:type="dxa"/>
            <w:right w:w="0" w:type="dxa"/>
          </w:tblCellMar>
        </w:tblPrEx>
        <w:trPr>
          <w:trHeight w:val="23" w:hRule="atLeast"/>
        </w:trPr>
        <w:tc>
          <w:tcPr>
            <w:tcW w:w="13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项目资金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（万元）</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年初预算数</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全年预算数</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全年执行数</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执行率</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r>
      <w:tr>
        <w:tblPrEx>
          <w:tblCellMar>
            <w:top w:w="0" w:type="dxa"/>
            <w:left w:w="0" w:type="dxa"/>
            <w:bottom w:w="0" w:type="dxa"/>
            <w:right w:w="0" w:type="dxa"/>
          </w:tblCellMar>
        </w:tblPrEx>
        <w:trPr>
          <w:trHeight w:val="23" w:hRule="atLeast"/>
        </w:trPr>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10.00分</w:t>
            </w:r>
          </w:p>
        </w:tc>
      </w:tr>
      <w:tr>
        <w:tblPrEx>
          <w:tblCellMar>
            <w:top w:w="0" w:type="dxa"/>
            <w:left w:w="0" w:type="dxa"/>
            <w:bottom w:w="0" w:type="dxa"/>
            <w:right w:w="0" w:type="dxa"/>
          </w:tblCellMar>
        </w:tblPrEx>
        <w:trPr>
          <w:trHeight w:val="23" w:hRule="atLeast"/>
        </w:trPr>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其中：当年财政拨款</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上年结转资金</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olor w:val="000000"/>
                <w:kern w:val="0"/>
                <w:sz w:val="18"/>
              </w:rPr>
              <w:t>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13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其他资金</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23"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年度总体目标</w:t>
            </w:r>
          </w:p>
        </w:tc>
        <w:tc>
          <w:tcPr>
            <w:tcW w:w="5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预期目标</w:t>
            </w:r>
          </w:p>
        </w:tc>
        <w:tc>
          <w:tcPr>
            <w:tcW w:w="34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实际完成情况</w:t>
            </w: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519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计划支出170万元，用于扶持我区3家战略性新兴产业企业项目。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任务1:用于支持新疆众和股份有限公司，年产2500平方米高性能高压腐蚀箔项目，奖励100万元。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任务2:用于支持新奇康药业股份有限公司，现代维药产业化及特色药材精深加工项目，奖励40万元。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任务3:用于支持新疆美特智能安全工程股份有限公司，口蹄疫乳化分包装生产线升级改造项目，奖励30万元。</w:t>
            </w:r>
          </w:p>
        </w:tc>
        <w:tc>
          <w:tcPr>
            <w:tcW w:w="3403"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支出170万元，用于扶持我区3家战略性新兴产业企业项目。 1、支持新疆众和股份有限公司，年产2500平方米高性能高压腐蚀箔项目，奖励100万元。 2、支持新奇康药业股份有限公司，现代维药产业化及特色药材精深加工项目，奖励40万元。 3、支持新疆美特智能安全工程股份有限公司，口蹄疫乳化分包装生产线升级改造项目，奖励30万元。</w:t>
            </w:r>
          </w:p>
        </w:tc>
      </w:tr>
      <w:tr>
        <w:tblPrEx>
          <w:tblCellMar>
            <w:top w:w="0" w:type="dxa"/>
            <w:left w:w="0" w:type="dxa"/>
            <w:bottom w:w="0" w:type="dxa"/>
            <w:right w:w="0"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825"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739"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1474"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7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6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19"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286"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09"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48"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401" w:type="dxa"/>
            <w:tcBorders>
              <w:top w:val="single" w:color="000000" w:sz="4" w:space="0"/>
              <w:left w:val="nil"/>
              <w:bottom w:val="single" w:color="000000" w:sz="4" w:space="0"/>
              <w:right w:val="nil"/>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c>
          <w:tcPr>
            <w:tcW w:w="7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31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二级指标</w:t>
            </w:r>
          </w:p>
        </w:tc>
        <w:tc>
          <w:tcPr>
            <w:tcW w:w="28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三级指标</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年度指标值</w:t>
            </w:r>
          </w:p>
        </w:tc>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实际完成值</w:t>
            </w:r>
          </w:p>
        </w:tc>
        <w:tc>
          <w:tcPr>
            <w:tcW w:w="7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分值</w:t>
            </w:r>
          </w:p>
        </w:tc>
        <w:tc>
          <w:tcPr>
            <w:tcW w:w="8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得分</w:t>
            </w: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偏差原因分析及改进措施</w:t>
            </w:r>
          </w:p>
        </w:tc>
      </w:tr>
      <w:tr>
        <w:tblPrEx>
          <w:tblCellMar>
            <w:top w:w="0" w:type="dxa"/>
            <w:left w:w="0" w:type="dxa"/>
            <w:bottom w:w="0" w:type="dxa"/>
            <w:right w:w="0" w:type="dxa"/>
          </w:tblCellMar>
        </w:tblPrEx>
        <w:trPr>
          <w:trHeight w:val="312"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2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年度绩效指标完成情况</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扶持企业个数</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&gt;=3个</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3个</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项目验收合格率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产品合格率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资金支付及时率</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项目完成时间</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2022年12月31日</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2022年12月31日</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新疆众和股份有限公司补助标准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&lt;=100万元</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100万元</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新奇康药业股份有限公司补助标准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&lt;=40万元</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40万元</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新疆美特智能安全工程股份有限公司补助标准</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&lt;=30万元</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30万元</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新增年销售收入</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&gt;=75074万元</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75074万元</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解决就业人数</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&gt;=120人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120人</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节能减排</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有效</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产业发展</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28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受益单位满意度</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&gt;=95%</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95%</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147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6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 w:val="18"/>
                <w:szCs w:val="18"/>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2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r>
        <w:tblPrEx>
          <w:tblCellMar>
            <w:top w:w="0" w:type="dxa"/>
            <w:left w:w="0" w:type="dxa"/>
            <w:bottom w:w="0" w:type="dxa"/>
            <w:right w:w="0" w:type="dxa"/>
          </w:tblCellMar>
        </w:tblPrEx>
        <w:trPr>
          <w:trHeight w:val="23" w:hRule="atLeast"/>
        </w:trPr>
        <w:tc>
          <w:tcPr>
            <w:tcW w:w="6389"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100.00分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center"/>
              <w:rPr>
                <w:rFonts w:ascii="宋体" w:hAnsi="宋体" w:cs="宋体"/>
                <w:color w:val="000000"/>
                <w:sz w:val="18"/>
                <w:szCs w:val="18"/>
              </w:rPr>
            </w:pPr>
          </w:p>
        </w:tc>
      </w:tr>
    </w:tbl>
    <w:p>
      <w:pPr>
        <w:rPr>
          <w:rFonts w:ascii="仿宋_GB2312" w:eastAsia="仿宋_GB2312"/>
          <w:sz w:val="32"/>
          <w:szCs w:val="32"/>
        </w:rPr>
      </w:pPr>
    </w:p>
    <w:p>
      <w:pPr>
        <w:ind w:firstLine="640" w:firstLineChars="200"/>
        <w:jc w:val="center"/>
        <w:outlineLvl w:val="0"/>
        <w:rPr>
          <w:rFonts w:ascii="黑体" w:hAnsi="黑体" w:eastAsia="黑体"/>
          <w:sz w:val="32"/>
          <w:szCs w:val="32"/>
        </w:rPr>
      </w:pPr>
      <w:bookmarkStart w:id="34" w:name="_Toc24143"/>
      <w:bookmarkStart w:id="35" w:name="_Toc3250"/>
      <w:r>
        <w:rPr>
          <w:rFonts w:hint="eastAsia" w:ascii="黑体" w:hAnsi="黑体" w:eastAsia="黑体"/>
          <w:sz w:val="32"/>
          <w:szCs w:val="32"/>
        </w:rPr>
        <w:br w:type="page"/>
      </w:r>
      <w:r>
        <w:rPr>
          <w:rFonts w:hint="eastAsia" w:ascii="黑体" w:hAnsi="黑体" w:eastAsia="黑体"/>
          <w:sz w:val="32"/>
          <w:szCs w:val="32"/>
        </w:rPr>
        <w:t>第三部分 专业名词解释</w:t>
      </w:r>
      <w:bookmarkEnd w:id="34"/>
      <w:bookmarkEnd w:id="35"/>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6" w:name="_Toc28903"/>
      <w:bookmarkStart w:id="37" w:name="_Toc22784"/>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pPr>
        <w:ind w:firstLine="640" w:firstLineChars="200"/>
        <w:outlineLvl w:val="1"/>
        <w:rPr>
          <w:rFonts w:ascii="黑体" w:hAnsi="黑体" w:eastAsia="黑体" w:cs="宋体"/>
          <w:bCs/>
          <w:kern w:val="0"/>
          <w:sz w:val="32"/>
          <w:szCs w:val="32"/>
        </w:rPr>
      </w:pPr>
      <w:bookmarkStart w:id="38" w:name="_Toc2183"/>
      <w:bookmarkStart w:id="39" w:name="_Toc6062"/>
      <w:r>
        <w:rPr>
          <w:rFonts w:hint="eastAsia" w:ascii="黑体" w:hAnsi="黑体" w:eastAsia="黑体" w:cs="宋体"/>
          <w:bCs/>
          <w:kern w:val="0"/>
          <w:sz w:val="32"/>
          <w:szCs w:val="32"/>
        </w:rPr>
        <w:t>一、《收入支出决算总表》</w:t>
      </w:r>
      <w:bookmarkEnd w:id="38"/>
      <w:bookmarkEnd w:id="39"/>
    </w:p>
    <w:p>
      <w:pPr>
        <w:ind w:firstLine="640" w:firstLineChars="200"/>
        <w:outlineLvl w:val="1"/>
        <w:rPr>
          <w:rFonts w:ascii="黑体" w:hAnsi="黑体" w:eastAsia="黑体" w:cs="宋体"/>
          <w:bCs/>
          <w:kern w:val="0"/>
          <w:sz w:val="32"/>
          <w:szCs w:val="32"/>
        </w:rPr>
      </w:pPr>
      <w:bookmarkStart w:id="40" w:name="_Toc30364"/>
      <w:bookmarkStart w:id="41" w:name="_Toc24532"/>
      <w:r>
        <w:rPr>
          <w:rFonts w:hint="eastAsia" w:ascii="黑体" w:hAnsi="黑体" w:eastAsia="黑体" w:cs="宋体"/>
          <w:bCs/>
          <w:kern w:val="0"/>
          <w:sz w:val="32"/>
          <w:szCs w:val="32"/>
        </w:rPr>
        <w:t>二、《收入决算表》</w:t>
      </w:r>
      <w:bookmarkEnd w:id="40"/>
      <w:bookmarkEnd w:id="41"/>
    </w:p>
    <w:p>
      <w:pPr>
        <w:ind w:firstLine="640" w:firstLineChars="200"/>
        <w:outlineLvl w:val="1"/>
        <w:rPr>
          <w:rFonts w:ascii="黑体" w:hAnsi="黑体" w:eastAsia="黑体" w:cs="宋体"/>
          <w:bCs/>
          <w:kern w:val="0"/>
          <w:sz w:val="32"/>
          <w:szCs w:val="32"/>
        </w:rPr>
      </w:pPr>
      <w:bookmarkStart w:id="42" w:name="_Toc32434"/>
      <w:bookmarkStart w:id="43" w:name="_Toc21304"/>
      <w:r>
        <w:rPr>
          <w:rFonts w:hint="eastAsia" w:ascii="黑体" w:hAnsi="黑体" w:eastAsia="黑体" w:cs="宋体"/>
          <w:bCs/>
          <w:kern w:val="0"/>
          <w:sz w:val="32"/>
          <w:szCs w:val="32"/>
        </w:rPr>
        <w:t>三、《支出决算表》</w:t>
      </w:r>
      <w:bookmarkEnd w:id="42"/>
      <w:bookmarkEnd w:id="43"/>
    </w:p>
    <w:p>
      <w:pPr>
        <w:ind w:firstLine="640" w:firstLineChars="200"/>
        <w:outlineLvl w:val="1"/>
        <w:rPr>
          <w:rFonts w:ascii="黑体" w:hAnsi="黑体" w:eastAsia="黑体" w:cs="宋体"/>
          <w:bCs/>
          <w:kern w:val="0"/>
          <w:sz w:val="32"/>
          <w:szCs w:val="32"/>
        </w:rPr>
      </w:pPr>
      <w:bookmarkStart w:id="44" w:name="_Toc28786"/>
      <w:bookmarkStart w:id="45" w:name="_Toc14238"/>
      <w:r>
        <w:rPr>
          <w:rFonts w:hint="eastAsia" w:ascii="黑体" w:hAnsi="黑体" w:eastAsia="黑体" w:cs="宋体"/>
          <w:bCs/>
          <w:kern w:val="0"/>
          <w:sz w:val="32"/>
          <w:szCs w:val="32"/>
        </w:rPr>
        <w:t>四、《财政拨款收入支出决算总表》</w:t>
      </w:r>
      <w:bookmarkEnd w:id="44"/>
      <w:bookmarkEnd w:id="45"/>
    </w:p>
    <w:p>
      <w:pPr>
        <w:ind w:firstLine="640" w:firstLineChars="200"/>
        <w:outlineLvl w:val="1"/>
        <w:rPr>
          <w:rFonts w:ascii="黑体" w:hAnsi="黑体" w:eastAsia="黑体" w:cs="宋体"/>
          <w:bCs/>
          <w:kern w:val="0"/>
          <w:sz w:val="32"/>
          <w:szCs w:val="32"/>
        </w:rPr>
      </w:pPr>
      <w:bookmarkStart w:id="46" w:name="_Toc10347"/>
      <w:bookmarkStart w:id="47" w:name="_Toc14869"/>
      <w:r>
        <w:rPr>
          <w:rFonts w:hint="eastAsia" w:ascii="黑体" w:hAnsi="黑体" w:eastAsia="黑体" w:cs="宋体"/>
          <w:bCs/>
          <w:kern w:val="0"/>
          <w:sz w:val="32"/>
          <w:szCs w:val="32"/>
        </w:rPr>
        <w:t>五、《一般公共预算财政拨款支出决算表》</w:t>
      </w:r>
      <w:bookmarkEnd w:id="46"/>
      <w:bookmarkEnd w:id="47"/>
    </w:p>
    <w:p>
      <w:pPr>
        <w:ind w:firstLine="640" w:firstLineChars="200"/>
        <w:outlineLvl w:val="1"/>
        <w:rPr>
          <w:rFonts w:ascii="黑体" w:hAnsi="黑体" w:eastAsia="黑体" w:cs="宋体"/>
          <w:bCs/>
          <w:kern w:val="0"/>
          <w:sz w:val="32"/>
          <w:szCs w:val="32"/>
        </w:rPr>
      </w:pPr>
      <w:bookmarkStart w:id="48" w:name="_Toc8884"/>
      <w:bookmarkStart w:id="49" w:name="_Toc5626"/>
      <w:r>
        <w:rPr>
          <w:rFonts w:hint="eastAsia" w:ascii="黑体" w:hAnsi="黑体" w:eastAsia="黑体" w:cs="宋体"/>
          <w:bCs/>
          <w:kern w:val="0"/>
          <w:sz w:val="32"/>
          <w:szCs w:val="32"/>
        </w:rPr>
        <w:t>六、《一般公共预算财政拨款基本支出决算表》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50" w:name="_Toc32663"/>
      <w:bookmarkStart w:id="51" w:name="_Toc29106"/>
      <w:r>
        <w:rPr>
          <w:rFonts w:hint="eastAsia" w:ascii="黑体" w:hAnsi="黑体" w:eastAsia="黑体" w:cs="宋体"/>
          <w:bCs/>
          <w:kern w:val="0"/>
          <w:sz w:val="32"/>
          <w:szCs w:val="32"/>
        </w:rPr>
        <w:t>《财政拨款“三公”经费支出决算表》</w:t>
      </w:r>
      <w:bookmarkEnd w:id="50"/>
      <w:bookmarkEnd w:id="51"/>
    </w:p>
    <w:p>
      <w:pPr>
        <w:ind w:firstLine="640" w:firstLineChars="200"/>
        <w:outlineLvl w:val="1"/>
        <w:rPr>
          <w:rFonts w:ascii="黑体" w:hAnsi="黑体" w:eastAsia="黑体" w:cs="宋体"/>
          <w:bCs/>
          <w:kern w:val="0"/>
          <w:sz w:val="32"/>
          <w:szCs w:val="32"/>
        </w:rPr>
      </w:pPr>
      <w:bookmarkStart w:id="52" w:name="_Toc7643"/>
      <w:bookmarkStart w:id="53" w:name="_Toc5453"/>
      <w:r>
        <w:rPr>
          <w:rFonts w:hint="eastAsia" w:ascii="黑体" w:hAnsi="黑体" w:eastAsia="黑体" w:cs="宋体"/>
          <w:bCs/>
          <w:kern w:val="0"/>
          <w:sz w:val="32"/>
          <w:szCs w:val="32"/>
        </w:rPr>
        <w:t>八、《政府性基金预算财政拨款收入支出决算表》</w:t>
      </w:r>
      <w:bookmarkEnd w:id="52"/>
      <w:bookmarkEnd w:id="53"/>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001874ED"/>
    <w:rsid w:val="001831BC"/>
    <w:rsid w:val="001874ED"/>
    <w:rsid w:val="00321255"/>
    <w:rsid w:val="008C015A"/>
    <w:rsid w:val="00EC1BE5"/>
    <w:rsid w:val="00F960AE"/>
    <w:rsid w:val="02F73D26"/>
    <w:rsid w:val="034D4FEF"/>
    <w:rsid w:val="043E5B56"/>
    <w:rsid w:val="06792773"/>
    <w:rsid w:val="0A7B4867"/>
    <w:rsid w:val="0B8C3ECC"/>
    <w:rsid w:val="0C0641C7"/>
    <w:rsid w:val="0C7227A7"/>
    <w:rsid w:val="13367CD5"/>
    <w:rsid w:val="1DAF458D"/>
    <w:rsid w:val="20DD6197"/>
    <w:rsid w:val="23BC04D2"/>
    <w:rsid w:val="27CF2642"/>
    <w:rsid w:val="2A053397"/>
    <w:rsid w:val="2D1136DF"/>
    <w:rsid w:val="2DE1625F"/>
    <w:rsid w:val="2FD27414"/>
    <w:rsid w:val="31C63837"/>
    <w:rsid w:val="33E12C20"/>
    <w:rsid w:val="3914510A"/>
    <w:rsid w:val="3D5275AC"/>
    <w:rsid w:val="40834692"/>
    <w:rsid w:val="455E08A4"/>
    <w:rsid w:val="46901EEE"/>
    <w:rsid w:val="469C74D2"/>
    <w:rsid w:val="488E1B89"/>
    <w:rsid w:val="4B4C0111"/>
    <w:rsid w:val="4ECE1E6A"/>
    <w:rsid w:val="50DB5F45"/>
    <w:rsid w:val="52F92565"/>
    <w:rsid w:val="563A6D55"/>
    <w:rsid w:val="583059FA"/>
    <w:rsid w:val="59001189"/>
    <w:rsid w:val="5AFC2B69"/>
    <w:rsid w:val="5FA17648"/>
    <w:rsid w:val="61A46A97"/>
    <w:rsid w:val="62DD7D21"/>
    <w:rsid w:val="65D97752"/>
    <w:rsid w:val="68DB0208"/>
    <w:rsid w:val="69846A0E"/>
    <w:rsid w:val="69AD798C"/>
    <w:rsid w:val="6B68175F"/>
    <w:rsid w:val="6E0F7A08"/>
    <w:rsid w:val="71473612"/>
    <w:rsid w:val="718F7F65"/>
    <w:rsid w:val="71E91CC0"/>
    <w:rsid w:val="73FB6630"/>
    <w:rsid w:val="74E76DCD"/>
    <w:rsid w:val="77ED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政府正文"/>
    <w:basedOn w:val="1"/>
    <w:unhideWhenUsed/>
    <w:qFormat/>
    <w:uiPriority w:val="0"/>
    <w:pPr>
      <w:spacing w:line="580" w:lineRule="exact"/>
      <w:ind w:firstLine="200" w:firstLineChars="200"/>
    </w:pPr>
    <w:rPr>
      <w:rFonts w:hint="eastAsia" w:ascii="方正仿宋_GBK" w:eastAsia="方正仿宋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Bing Lan Electronic Technology</Company>
  <Pages>22</Pages>
  <Words>1609</Words>
  <Characters>9175</Characters>
  <Lines>76</Lines>
  <Paragraphs>21</Paragraphs>
  <TotalTime>16</TotalTime>
  <ScaleCrop>false</ScaleCrop>
  <LinksUpToDate>false</LinksUpToDate>
  <CharactersWithSpaces>10763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峰</cp:lastModifiedBy>
  <cp:lastPrinted>2023-08-22T10:15:00Z</cp:lastPrinted>
  <dcterms:modified xsi:type="dcterms:W3CDTF">2024-05-09T04:21:08Z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BECAF8806BBE4774984BC743E41A7B56_13</vt:lpwstr>
  </property>
</Properties>
</file>