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C2" w:rsidRDefault="003847C2">
      <w:pPr>
        <w:rPr>
          <w:rFonts w:ascii="黑体" w:eastAsia="黑体" w:hAnsi="黑体"/>
          <w:sz w:val="32"/>
          <w:szCs w:val="32"/>
        </w:rPr>
      </w:pPr>
    </w:p>
    <w:p w:rsidR="003847C2" w:rsidRDefault="003847C2">
      <w:pPr>
        <w:jc w:val="center"/>
        <w:rPr>
          <w:rFonts w:ascii="方正小标宋_GBK" w:eastAsia="方正小标宋_GBK" w:hAnsi="宋体"/>
          <w:sz w:val="44"/>
          <w:szCs w:val="44"/>
        </w:rPr>
      </w:pPr>
    </w:p>
    <w:p w:rsidR="003847C2" w:rsidRDefault="003847C2">
      <w:pPr>
        <w:jc w:val="center"/>
        <w:rPr>
          <w:rFonts w:ascii="方正小标宋_GBK" w:eastAsia="方正小标宋_GBK" w:hAnsi="宋体"/>
          <w:sz w:val="44"/>
          <w:szCs w:val="44"/>
        </w:rPr>
      </w:pPr>
    </w:p>
    <w:p w:rsidR="003847C2" w:rsidRDefault="003847C2">
      <w:pPr>
        <w:jc w:val="center"/>
        <w:rPr>
          <w:rFonts w:ascii="方正小标宋_GBK" w:eastAsia="方正小标宋_GBK" w:hAnsi="宋体"/>
          <w:sz w:val="44"/>
          <w:szCs w:val="44"/>
        </w:rPr>
      </w:pPr>
    </w:p>
    <w:p w:rsidR="003847C2" w:rsidRDefault="003847C2">
      <w:pPr>
        <w:jc w:val="center"/>
        <w:rPr>
          <w:rFonts w:ascii="方正小标宋_GBK" w:eastAsia="方正小标宋_GBK" w:hAnsi="宋体"/>
          <w:sz w:val="44"/>
          <w:szCs w:val="44"/>
        </w:rPr>
      </w:pPr>
    </w:p>
    <w:p w:rsidR="003847C2" w:rsidRDefault="0059262E">
      <w:pPr>
        <w:jc w:val="center"/>
        <w:rPr>
          <w:rFonts w:ascii="方正小标宋_GBK" w:eastAsia="方正小标宋_GBK" w:hAnsi="宋体"/>
          <w:sz w:val="44"/>
          <w:szCs w:val="44"/>
        </w:rPr>
      </w:pPr>
      <w:r>
        <w:rPr>
          <w:rFonts w:ascii="方正小标宋_GBK" w:eastAsia="方正小标宋_GBK" w:hAnsi="宋体" w:hint="eastAsia"/>
          <w:sz w:val="44"/>
          <w:szCs w:val="44"/>
        </w:rPr>
        <w:t>中国人民政治协商会议乌鲁木齐市新市区</w:t>
      </w:r>
    </w:p>
    <w:p w:rsidR="003847C2" w:rsidRDefault="0059262E">
      <w:pPr>
        <w:jc w:val="center"/>
        <w:rPr>
          <w:rFonts w:ascii="方正小标宋_GBK" w:eastAsia="方正小标宋_GBK" w:hAnsi="宋体"/>
          <w:sz w:val="44"/>
          <w:szCs w:val="44"/>
        </w:rPr>
      </w:pPr>
      <w:r>
        <w:rPr>
          <w:rFonts w:ascii="方正小标宋_GBK" w:eastAsia="方正小标宋_GBK" w:hAnsi="宋体" w:hint="eastAsia"/>
          <w:sz w:val="44"/>
          <w:szCs w:val="44"/>
        </w:rPr>
        <w:t>委员会2022年度部门决算</w:t>
      </w:r>
    </w:p>
    <w:p w:rsidR="003847C2" w:rsidRDefault="0059262E">
      <w:pPr>
        <w:jc w:val="center"/>
        <w:rPr>
          <w:rFonts w:ascii="方正小标宋_GBK" w:eastAsia="方正小标宋_GBK" w:hAnsi="宋体"/>
          <w:sz w:val="44"/>
          <w:szCs w:val="44"/>
        </w:rPr>
      </w:pPr>
      <w:r>
        <w:rPr>
          <w:rFonts w:ascii="方正小标宋_GBK" w:eastAsia="方正小标宋_GBK" w:hAnsi="宋体" w:hint="eastAsia"/>
          <w:sz w:val="44"/>
          <w:szCs w:val="44"/>
        </w:rPr>
        <w:t>公开说明</w:t>
      </w:r>
    </w:p>
    <w:p w:rsidR="003847C2" w:rsidRDefault="0059262E">
      <w:pPr>
        <w:jc w:val="center"/>
        <w:rPr>
          <w:rFonts w:ascii="仿宋_GB2312" w:eastAsia="仿宋_GB2312" w:hAnsi="仿宋_GB2312" w:cs="仿宋_GB2312"/>
          <w:bCs/>
          <w:kern w:val="0"/>
          <w:sz w:val="32"/>
          <w:szCs w:val="32"/>
        </w:rPr>
      </w:pPr>
      <w:r>
        <w:rPr>
          <w:rFonts w:ascii="方正小标宋_GBK" w:eastAsia="方正小标宋_GBK" w:hAnsi="宋体" w:hint="eastAsia"/>
          <w:sz w:val="44"/>
          <w:szCs w:val="44"/>
        </w:rPr>
        <w:br w:type="page"/>
      </w:r>
      <w:r>
        <w:rPr>
          <w:rFonts w:ascii="仿宋_GB2312" w:eastAsia="仿宋_GB2312" w:hAnsi="仿宋_GB2312" w:cs="仿宋_GB2312" w:hint="eastAsia"/>
          <w:b/>
          <w:kern w:val="0"/>
          <w:sz w:val="36"/>
          <w:szCs w:val="36"/>
        </w:rPr>
        <w:lastRenderedPageBreak/>
        <w:t>目  录</w:t>
      </w:r>
    </w:p>
    <w:p w:rsidR="003847C2" w:rsidRDefault="0059262E">
      <w:pPr>
        <w:pStyle w:val="1"/>
        <w:tabs>
          <w:tab w:val="right" w:pos="8306"/>
        </w:tabs>
        <w:rPr>
          <w:rFonts w:ascii="仿宋_GB2312" w:eastAsia="仿宋_GB2312" w:hAnsi="仿宋_GB2312" w:cs="仿宋_GB2312"/>
          <w:b/>
          <w:bCs/>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TOC \o "1-3" \n  \h \u </w:instrText>
      </w:r>
      <w:r>
        <w:rPr>
          <w:rFonts w:ascii="仿宋_GB2312" w:eastAsia="仿宋_GB2312" w:hAnsi="仿宋_GB2312" w:cs="仿宋_GB2312" w:hint="eastAsia"/>
          <w:sz w:val="32"/>
          <w:szCs w:val="32"/>
        </w:rPr>
        <w:fldChar w:fldCharType="separate"/>
      </w:r>
      <w:hyperlink w:anchor="_Toc32314" w:history="1">
        <w:r>
          <w:rPr>
            <w:rFonts w:ascii="仿宋_GB2312" w:eastAsia="仿宋_GB2312" w:hAnsi="仿宋_GB2312" w:cs="仿宋_GB2312" w:hint="eastAsia"/>
            <w:b/>
            <w:bCs/>
            <w:sz w:val="32"/>
            <w:szCs w:val="32"/>
          </w:rPr>
          <w:t>第一部分 单位概况</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30567" w:history="1">
        <w:r w:rsidR="0059262E">
          <w:rPr>
            <w:rFonts w:ascii="仿宋_GB2312" w:eastAsia="仿宋_GB2312" w:hAnsi="仿宋_GB2312" w:cs="仿宋_GB2312" w:hint="eastAsia"/>
            <w:bCs/>
            <w:kern w:val="0"/>
            <w:sz w:val="32"/>
            <w:szCs w:val="32"/>
          </w:rPr>
          <w:t>一、主要职能</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2151" w:history="1">
        <w:r w:rsidR="0059262E">
          <w:rPr>
            <w:rFonts w:ascii="仿宋_GB2312" w:eastAsia="仿宋_GB2312" w:hAnsi="仿宋_GB2312" w:cs="仿宋_GB2312" w:hint="eastAsia"/>
            <w:bCs/>
            <w:kern w:val="0"/>
            <w:sz w:val="32"/>
            <w:szCs w:val="32"/>
          </w:rPr>
          <w:t>二、机构设置及人员情况</w:t>
        </w:r>
      </w:hyperlink>
    </w:p>
    <w:p w:rsidR="003847C2" w:rsidRDefault="000762FA">
      <w:pPr>
        <w:pStyle w:val="1"/>
        <w:tabs>
          <w:tab w:val="right" w:pos="8306"/>
        </w:tabs>
        <w:rPr>
          <w:rFonts w:ascii="仿宋_GB2312" w:eastAsia="仿宋_GB2312" w:hAnsi="仿宋_GB2312" w:cs="仿宋_GB2312"/>
          <w:b/>
          <w:bCs/>
          <w:sz w:val="32"/>
          <w:szCs w:val="32"/>
        </w:rPr>
      </w:pPr>
      <w:hyperlink w:anchor="_Toc29374" w:history="1">
        <w:r w:rsidR="0059262E">
          <w:rPr>
            <w:rFonts w:ascii="仿宋_GB2312" w:eastAsia="仿宋_GB2312" w:hAnsi="仿宋_GB2312" w:cs="仿宋_GB2312" w:hint="eastAsia"/>
            <w:b/>
            <w:bCs/>
            <w:sz w:val="32"/>
            <w:szCs w:val="32"/>
          </w:rPr>
          <w:t>第二部分 部门决算情况说明</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25314" w:history="1">
        <w:r w:rsidR="0059262E">
          <w:rPr>
            <w:rFonts w:ascii="仿宋_GB2312" w:eastAsia="仿宋_GB2312" w:hAnsi="仿宋_GB2312" w:cs="仿宋_GB2312" w:hint="eastAsia"/>
            <w:bCs/>
            <w:kern w:val="0"/>
            <w:sz w:val="32"/>
            <w:szCs w:val="32"/>
          </w:rPr>
          <w:t>一、收入支出决算总体情况说明</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12142" w:history="1">
        <w:r w:rsidR="0059262E">
          <w:rPr>
            <w:rFonts w:ascii="仿宋_GB2312" w:eastAsia="仿宋_GB2312" w:hAnsi="仿宋_GB2312" w:cs="仿宋_GB2312" w:hint="eastAsia"/>
            <w:bCs/>
            <w:kern w:val="0"/>
            <w:sz w:val="32"/>
            <w:szCs w:val="32"/>
          </w:rPr>
          <w:t>二、收入决算情况说明</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13201" w:history="1">
        <w:r w:rsidR="0059262E">
          <w:rPr>
            <w:rFonts w:ascii="仿宋_GB2312" w:eastAsia="仿宋_GB2312" w:hAnsi="仿宋_GB2312" w:cs="仿宋_GB2312" w:hint="eastAsia"/>
            <w:bCs/>
            <w:kern w:val="0"/>
            <w:sz w:val="32"/>
            <w:szCs w:val="32"/>
          </w:rPr>
          <w:t>三、支出决算情况说明</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26564" w:history="1">
        <w:r w:rsidR="0059262E">
          <w:rPr>
            <w:rFonts w:ascii="仿宋_GB2312" w:eastAsia="仿宋_GB2312" w:hAnsi="仿宋_GB2312" w:cs="仿宋_GB2312" w:hint="eastAsia"/>
            <w:bCs/>
            <w:kern w:val="0"/>
            <w:sz w:val="32"/>
            <w:szCs w:val="32"/>
          </w:rPr>
          <w:t>四、财政拨款收入支出决算总体情况说明</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20360" w:history="1">
        <w:r w:rsidR="0059262E">
          <w:rPr>
            <w:rFonts w:ascii="仿宋_GB2312" w:eastAsia="仿宋_GB2312" w:hAnsi="仿宋_GB2312" w:cs="仿宋_GB2312" w:hint="eastAsia"/>
            <w:bCs/>
            <w:kern w:val="0"/>
            <w:sz w:val="32"/>
            <w:szCs w:val="32"/>
          </w:rPr>
          <w:t>五、一般公共预算财政拨款支出决算情况说明</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30870" w:history="1">
        <w:r w:rsidR="0059262E">
          <w:rPr>
            <w:rFonts w:ascii="仿宋_GB2312" w:eastAsia="仿宋_GB2312" w:hAnsi="仿宋_GB2312" w:cs="仿宋_GB2312" w:hint="eastAsia"/>
            <w:bCs/>
            <w:kern w:val="0"/>
            <w:sz w:val="32"/>
            <w:szCs w:val="32"/>
          </w:rPr>
          <w:t>六、一般公共预算财政拨款基本支出决算情况说明</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21518" w:history="1">
        <w:r w:rsidR="0059262E">
          <w:rPr>
            <w:rFonts w:ascii="仿宋_GB2312" w:eastAsia="仿宋_GB2312" w:hAnsi="仿宋_GB2312" w:cs="仿宋_GB2312" w:hint="eastAsia"/>
            <w:bCs/>
            <w:kern w:val="0"/>
            <w:sz w:val="32"/>
            <w:szCs w:val="32"/>
          </w:rPr>
          <w:t>七、财政拨款“三公”经费支出决算情况说明</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5810" w:history="1">
        <w:r w:rsidR="0059262E">
          <w:rPr>
            <w:rFonts w:ascii="仿宋_GB2312" w:eastAsia="仿宋_GB2312" w:hAnsi="仿宋_GB2312" w:cs="仿宋_GB2312" w:hint="eastAsia"/>
            <w:bCs/>
            <w:kern w:val="0"/>
            <w:sz w:val="32"/>
            <w:szCs w:val="32"/>
          </w:rPr>
          <w:t>八、政府性基金预算财政拨款收入支出决算情况说明</w:t>
        </w:r>
      </w:hyperlink>
    </w:p>
    <w:p w:rsidR="003847C2" w:rsidRDefault="000762FA">
      <w:hyperlink w:anchor="_Toc5810" w:history="1">
        <w:r w:rsidR="0059262E">
          <w:rPr>
            <w:rFonts w:ascii="仿宋_GB2312" w:eastAsia="仿宋_GB2312" w:hAnsi="仿宋_GB2312" w:cs="仿宋_GB2312" w:hint="eastAsia"/>
            <w:bCs/>
            <w:kern w:val="0"/>
            <w:sz w:val="32"/>
            <w:szCs w:val="32"/>
          </w:rPr>
          <w:t>九、国有资本经营预算财政拨款收入支出决算情况说明</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1235" w:history="1">
        <w:r w:rsidR="0059262E">
          <w:rPr>
            <w:rFonts w:ascii="仿宋_GB2312" w:eastAsia="仿宋_GB2312" w:hAnsi="仿宋_GB2312" w:cs="仿宋_GB2312" w:hint="eastAsia"/>
            <w:sz w:val="32"/>
            <w:szCs w:val="32"/>
          </w:rPr>
          <w:t>十</w:t>
        </w:r>
        <w:r w:rsidR="0059262E">
          <w:rPr>
            <w:rFonts w:ascii="仿宋_GB2312" w:eastAsia="仿宋_GB2312" w:hAnsi="仿宋_GB2312" w:cs="仿宋_GB2312" w:hint="eastAsia"/>
            <w:bCs/>
            <w:kern w:val="0"/>
            <w:sz w:val="32"/>
            <w:szCs w:val="32"/>
          </w:rPr>
          <w:t>、其他重要事项的情况说明</w:t>
        </w:r>
      </w:hyperlink>
    </w:p>
    <w:p w:rsidR="003847C2" w:rsidRDefault="000762FA">
      <w:pPr>
        <w:pStyle w:val="3"/>
        <w:tabs>
          <w:tab w:val="right" w:pos="8306"/>
        </w:tabs>
        <w:ind w:leftChars="0" w:left="0"/>
        <w:rPr>
          <w:rFonts w:ascii="仿宋_GB2312" w:eastAsia="仿宋_GB2312" w:hAnsi="仿宋_GB2312" w:cs="仿宋_GB2312"/>
          <w:sz w:val="32"/>
          <w:szCs w:val="32"/>
        </w:rPr>
      </w:pPr>
      <w:hyperlink w:anchor="_Toc14519" w:history="1">
        <w:r w:rsidR="0059262E">
          <w:rPr>
            <w:rFonts w:ascii="仿宋_GB2312" w:eastAsia="仿宋_GB2312" w:hAnsi="仿宋_GB2312" w:cs="仿宋_GB2312" w:hint="eastAsia"/>
            <w:sz w:val="32"/>
            <w:szCs w:val="32"/>
          </w:rPr>
          <w:t>（一）机关运行经费支出情况</w:t>
        </w:r>
      </w:hyperlink>
    </w:p>
    <w:p w:rsidR="003847C2" w:rsidRDefault="000762FA">
      <w:pPr>
        <w:pStyle w:val="3"/>
        <w:tabs>
          <w:tab w:val="right" w:pos="8306"/>
        </w:tabs>
        <w:ind w:leftChars="0" w:left="0"/>
        <w:rPr>
          <w:rFonts w:ascii="仿宋_GB2312" w:eastAsia="仿宋_GB2312" w:hAnsi="仿宋_GB2312" w:cs="仿宋_GB2312"/>
          <w:sz w:val="32"/>
          <w:szCs w:val="32"/>
        </w:rPr>
      </w:pPr>
      <w:hyperlink w:anchor="_Toc227" w:history="1">
        <w:r w:rsidR="0059262E">
          <w:rPr>
            <w:rFonts w:ascii="仿宋_GB2312" w:eastAsia="仿宋_GB2312" w:hAnsi="仿宋_GB2312" w:cs="仿宋_GB2312" w:hint="eastAsia"/>
            <w:sz w:val="32"/>
            <w:szCs w:val="32"/>
          </w:rPr>
          <w:t>（二）政府采购情况</w:t>
        </w:r>
      </w:hyperlink>
    </w:p>
    <w:p w:rsidR="003847C2" w:rsidRDefault="000762FA">
      <w:pPr>
        <w:pStyle w:val="3"/>
        <w:tabs>
          <w:tab w:val="right" w:pos="8306"/>
        </w:tabs>
        <w:ind w:leftChars="0" w:left="0"/>
        <w:rPr>
          <w:rFonts w:ascii="仿宋_GB2312" w:eastAsia="仿宋_GB2312" w:hAnsi="仿宋_GB2312" w:cs="仿宋_GB2312"/>
          <w:sz w:val="32"/>
          <w:szCs w:val="32"/>
        </w:rPr>
      </w:pPr>
      <w:hyperlink w:anchor="_Toc8391" w:history="1">
        <w:r w:rsidR="0059262E">
          <w:rPr>
            <w:rFonts w:ascii="仿宋_GB2312" w:eastAsia="仿宋_GB2312" w:hAnsi="仿宋_GB2312" w:cs="仿宋_GB2312" w:hint="eastAsia"/>
            <w:sz w:val="32"/>
            <w:szCs w:val="32"/>
          </w:rPr>
          <w:t>（三）国有资产占用情况说明</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11283" w:history="1">
        <w:r w:rsidR="0059262E">
          <w:rPr>
            <w:rFonts w:ascii="仿宋_GB2312" w:eastAsia="仿宋_GB2312" w:hAnsi="仿宋_GB2312" w:cs="仿宋_GB2312" w:hint="eastAsia"/>
            <w:bCs/>
            <w:kern w:val="0"/>
            <w:sz w:val="32"/>
            <w:szCs w:val="32"/>
          </w:rPr>
          <w:t>十一、预算绩效的情况说明</w:t>
        </w:r>
      </w:hyperlink>
    </w:p>
    <w:p w:rsidR="003847C2" w:rsidRDefault="000762FA">
      <w:pPr>
        <w:pStyle w:val="1"/>
        <w:tabs>
          <w:tab w:val="right" w:pos="8306"/>
        </w:tabs>
        <w:rPr>
          <w:rFonts w:ascii="仿宋_GB2312" w:eastAsia="仿宋_GB2312" w:hAnsi="仿宋_GB2312" w:cs="仿宋_GB2312"/>
          <w:b/>
          <w:bCs/>
          <w:sz w:val="32"/>
          <w:szCs w:val="32"/>
        </w:rPr>
      </w:pPr>
      <w:hyperlink w:anchor="_Toc3250" w:history="1">
        <w:r w:rsidR="0059262E">
          <w:rPr>
            <w:rFonts w:ascii="仿宋_GB2312" w:eastAsia="仿宋_GB2312" w:hAnsi="仿宋_GB2312" w:cs="仿宋_GB2312" w:hint="eastAsia"/>
            <w:b/>
            <w:bCs/>
            <w:sz w:val="32"/>
            <w:szCs w:val="32"/>
          </w:rPr>
          <w:t>第三部分 专业名词解释</w:t>
        </w:r>
      </w:hyperlink>
    </w:p>
    <w:p w:rsidR="003847C2" w:rsidRDefault="000762FA">
      <w:pPr>
        <w:pStyle w:val="1"/>
        <w:tabs>
          <w:tab w:val="right" w:pos="8306"/>
        </w:tabs>
        <w:rPr>
          <w:rFonts w:ascii="仿宋_GB2312" w:eastAsia="仿宋_GB2312" w:hAnsi="仿宋_GB2312" w:cs="仿宋_GB2312"/>
          <w:b/>
          <w:bCs/>
          <w:sz w:val="32"/>
          <w:szCs w:val="32"/>
        </w:rPr>
      </w:pPr>
      <w:hyperlink w:anchor="_Toc22784" w:history="1">
        <w:r w:rsidR="0059262E">
          <w:rPr>
            <w:rFonts w:ascii="仿宋_GB2312" w:eastAsia="仿宋_GB2312" w:hAnsi="仿宋_GB2312" w:cs="仿宋_GB2312" w:hint="eastAsia"/>
            <w:b/>
            <w:bCs/>
            <w:sz w:val="32"/>
            <w:szCs w:val="32"/>
          </w:rPr>
          <w:t>第四部分 部门决算报表（见附表）</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2183" w:history="1">
        <w:r w:rsidR="0059262E">
          <w:rPr>
            <w:rFonts w:ascii="仿宋_GB2312" w:eastAsia="仿宋_GB2312" w:hAnsi="仿宋_GB2312" w:cs="仿宋_GB2312" w:hint="eastAsia"/>
            <w:bCs/>
            <w:kern w:val="0"/>
            <w:sz w:val="32"/>
            <w:szCs w:val="32"/>
          </w:rPr>
          <w:t>一、《收入支出决算总表》</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24532" w:history="1">
        <w:r w:rsidR="0059262E">
          <w:rPr>
            <w:rFonts w:ascii="仿宋_GB2312" w:eastAsia="仿宋_GB2312" w:hAnsi="仿宋_GB2312" w:cs="仿宋_GB2312" w:hint="eastAsia"/>
            <w:bCs/>
            <w:kern w:val="0"/>
            <w:sz w:val="32"/>
            <w:szCs w:val="32"/>
          </w:rPr>
          <w:t>二、《收入决算表》</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32434" w:history="1">
        <w:r w:rsidR="0059262E">
          <w:rPr>
            <w:rFonts w:ascii="仿宋_GB2312" w:eastAsia="仿宋_GB2312" w:hAnsi="仿宋_GB2312" w:cs="仿宋_GB2312" w:hint="eastAsia"/>
            <w:bCs/>
            <w:kern w:val="0"/>
            <w:sz w:val="32"/>
            <w:szCs w:val="32"/>
          </w:rPr>
          <w:t>三、《支出决算表》</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28786" w:history="1">
        <w:r w:rsidR="0059262E">
          <w:rPr>
            <w:rFonts w:ascii="仿宋_GB2312" w:eastAsia="仿宋_GB2312" w:hAnsi="仿宋_GB2312" w:cs="仿宋_GB2312" w:hint="eastAsia"/>
            <w:bCs/>
            <w:kern w:val="0"/>
            <w:sz w:val="32"/>
            <w:szCs w:val="32"/>
          </w:rPr>
          <w:t>四、《财政拨款收入支出决算总表》</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14869" w:history="1">
        <w:r w:rsidR="0059262E">
          <w:rPr>
            <w:rFonts w:ascii="仿宋_GB2312" w:eastAsia="仿宋_GB2312" w:hAnsi="仿宋_GB2312" w:cs="仿宋_GB2312" w:hint="eastAsia"/>
            <w:bCs/>
            <w:kern w:val="0"/>
            <w:sz w:val="32"/>
            <w:szCs w:val="32"/>
          </w:rPr>
          <w:t>五、《一般公共预算财政拨款支出决算表》</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8884" w:history="1">
        <w:r w:rsidR="0059262E">
          <w:rPr>
            <w:rFonts w:ascii="仿宋_GB2312" w:eastAsia="仿宋_GB2312" w:hAnsi="仿宋_GB2312" w:cs="仿宋_GB2312" w:hint="eastAsia"/>
            <w:bCs/>
            <w:kern w:val="0"/>
            <w:sz w:val="32"/>
            <w:szCs w:val="32"/>
          </w:rPr>
          <w:t>六、《一般公共预算财政拨款基本支出决算表》</w:t>
        </w:r>
      </w:hyperlink>
    </w:p>
    <w:p w:rsidR="003847C2" w:rsidRDefault="000762FA">
      <w:pPr>
        <w:pStyle w:val="20"/>
        <w:tabs>
          <w:tab w:val="right" w:pos="8306"/>
        </w:tabs>
        <w:ind w:leftChars="0" w:left="0"/>
        <w:rPr>
          <w:rFonts w:ascii="仿宋_GB2312" w:eastAsia="仿宋_GB2312" w:hAnsi="仿宋_GB2312" w:cs="仿宋_GB2312"/>
          <w:sz w:val="32"/>
          <w:szCs w:val="32"/>
        </w:rPr>
      </w:pPr>
      <w:hyperlink w:anchor="_Toc29106" w:history="1">
        <w:r w:rsidR="0059262E">
          <w:rPr>
            <w:rFonts w:ascii="仿宋_GB2312" w:eastAsia="仿宋_GB2312" w:hAnsi="仿宋_GB2312" w:cs="仿宋_GB2312" w:hint="eastAsia"/>
            <w:bCs/>
            <w:kern w:val="0"/>
            <w:sz w:val="32"/>
            <w:szCs w:val="32"/>
          </w:rPr>
          <w:t>七、《财政拨款“三公”经费支出决算表》</w:t>
        </w:r>
      </w:hyperlink>
    </w:p>
    <w:p w:rsidR="003847C2" w:rsidRDefault="000762FA">
      <w:pPr>
        <w:pStyle w:val="20"/>
        <w:tabs>
          <w:tab w:val="right" w:pos="8306"/>
        </w:tabs>
        <w:ind w:leftChars="0" w:left="0"/>
        <w:rPr>
          <w:rFonts w:ascii="仿宋_GB2312" w:eastAsia="仿宋_GB2312" w:hAnsi="仿宋_GB2312" w:cs="仿宋_GB2312"/>
          <w:bCs/>
          <w:kern w:val="0"/>
          <w:sz w:val="32"/>
          <w:szCs w:val="32"/>
        </w:rPr>
      </w:pPr>
      <w:hyperlink w:anchor="_Toc7643" w:history="1">
        <w:r w:rsidR="0059262E">
          <w:rPr>
            <w:rFonts w:ascii="仿宋_GB2312" w:eastAsia="仿宋_GB2312" w:hAnsi="仿宋_GB2312" w:cs="仿宋_GB2312" w:hint="eastAsia"/>
            <w:bCs/>
            <w:kern w:val="0"/>
            <w:sz w:val="32"/>
            <w:szCs w:val="32"/>
          </w:rPr>
          <w:t>八、《政府性基金预算财政拨款收入支出决算表》</w:t>
        </w:r>
      </w:hyperlink>
    </w:p>
    <w:p w:rsidR="003847C2" w:rsidRDefault="0059262E">
      <w:pPr>
        <w:pStyle w:val="20"/>
        <w:tabs>
          <w:tab w:val="right" w:pos="8306"/>
        </w:tabs>
        <w:ind w:leftChars="0" w:left="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九、《国有资本经营预算财政拨款收入支出决算表》</w:t>
      </w:r>
    </w:p>
    <w:p w:rsidR="003847C2" w:rsidRDefault="0059262E">
      <w:r>
        <w:rPr>
          <w:rFonts w:ascii="仿宋_GB2312" w:eastAsia="仿宋_GB2312" w:hAnsi="仿宋_GB2312" w:cs="仿宋_GB2312" w:hint="eastAsia"/>
          <w:sz w:val="32"/>
          <w:szCs w:val="32"/>
        </w:rPr>
        <w:fldChar w:fldCharType="end"/>
      </w:r>
    </w:p>
    <w:p w:rsidR="003847C2" w:rsidRDefault="0059262E">
      <w:pPr>
        <w:ind w:firstLineChars="200" w:firstLine="640"/>
        <w:jc w:val="center"/>
        <w:outlineLvl w:val="0"/>
        <w:rPr>
          <w:rFonts w:ascii="黑体" w:eastAsia="黑体" w:hAnsi="黑体"/>
          <w:sz w:val="32"/>
          <w:szCs w:val="32"/>
        </w:rPr>
      </w:pPr>
      <w:r>
        <w:rPr>
          <w:rFonts w:ascii="仿宋_GB2312" w:eastAsia="仿宋_GB2312" w:hint="eastAsia"/>
          <w:sz w:val="32"/>
          <w:szCs w:val="32"/>
        </w:rPr>
        <w:br w:type="page"/>
      </w:r>
      <w:bookmarkStart w:id="0" w:name="_Toc32314"/>
      <w:bookmarkStart w:id="1" w:name="_Toc24028"/>
      <w:r>
        <w:rPr>
          <w:rFonts w:ascii="黑体" w:eastAsia="黑体" w:hAnsi="黑体" w:hint="eastAsia"/>
          <w:sz w:val="32"/>
          <w:szCs w:val="32"/>
        </w:rPr>
        <w:lastRenderedPageBreak/>
        <w:t>第一部分 单位概况</w:t>
      </w:r>
      <w:bookmarkEnd w:id="0"/>
      <w:bookmarkEnd w:id="1"/>
    </w:p>
    <w:p w:rsidR="003847C2" w:rsidRDefault="0059262E">
      <w:pPr>
        <w:ind w:firstLineChars="200" w:firstLine="640"/>
        <w:outlineLvl w:val="1"/>
        <w:rPr>
          <w:rFonts w:ascii="黑体" w:eastAsia="黑体" w:hAnsi="黑体" w:cs="宋体"/>
          <w:bCs/>
          <w:kern w:val="0"/>
          <w:sz w:val="32"/>
          <w:szCs w:val="32"/>
        </w:rPr>
      </w:pPr>
      <w:bookmarkStart w:id="2" w:name="_Toc30738"/>
      <w:bookmarkStart w:id="3" w:name="_Toc30567"/>
      <w:r>
        <w:rPr>
          <w:rFonts w:ascii="黑体" w:eastAsia="黑体" w:hAnsi="黑体" w:cs="宋体" w:hint="eastAsia"/>
          <w:bCs/>
          <w:kern w:val="0"/>
          <w:sz w:val="32"/>
          <w:szCs w:val="32"/>
        </w:rPr>
        <w:t>一、主要职能</w:t>
      </w:r>
      <w:bookmarkEnd w:id="2"/>
      <w:bookmarkEnd w:id="3"/>
    </w:p>
    <w:p w:rsidR="003847C2" w:rsidRDefault="0059262E">
      <w:pPr>
        <w:overflowPunct w:val="0"/>
        <w:spacing w:line="560" w:lineRule="exact"/>
        <w:ind w:firstLineChars="200" w:firstLine="640"/>
        <w:rPr>
          <w:rFonts w:ascii="方正仿宋_GBK" w:eastAsia="方正仿宋_GBK" w:hAnsi="方正仿宋_GBK"/>
          <w:sz w:val="32"/>
          <w:szCs w:val="20"/>
        </w:rPr>
      </w:pPr>
      <w:bookmarkStart w:id="4" w:name="_Toc31238"/>
      <w:bookmarkStart w:id="5" w:name="_Toc2151"/>
      <w:r>
        <w:rPr>
          <w:rFonts w:ascii="方正仿宋_GBK" w:eastAsia="方正仿宋_GBK" w:hAnsi="方正仿宋_GBK" w:hint="eastAsia"/>
          <w:sz w:val="32"/>
          <w:szCs w:val="20"/>
        </w:rPr>
        <w:t xml:space="preserve">中国人民政治协商会议是中国人民爱国统一战线的组织，是中国共产党领导的多党合作和政治协商的重要机构，是中国政治生活中发扬社会主义民主的一种重要形式。它根据中国共产党同各民主党派和无党派民主人士“长期共存、互相监督、肝胆相照、荣辱与共”的方针，对国家大政方针和群众生活的重要问题进行政治协商，并通过建议和批评发挥参政议政、民主监督的作用。根据政协章程的规定，人民政协的主要职能是政治协商和民主监督，组织参加政协的各党派、团体和各族各界人士参政议政。 </w:t>
      </w:r>
    </w:p>
    <w:p w:rsidR="003847C2" w:rsidRDefault="0059262E">
      <w:pPr>
        <w:overflowPunct w:val="0"/>
        <w:spacing w:line="560" w:lineRule="exact"/>
        <w:ind w:firstLineChars="200" w:firstLine="640"/>
        <w:rPr>
          <w:rFonts w:ascii="方正仿宋_GBK" w:eastAsia="方正仿宋_GBK" w:hAnsi="方正仿宋_GBK"/>
          <w:sz w:val="32"/>
          <w:szCs w:val="20"/>
        </w:rPr>
      </w:pPr>
      <w:r>
        <w:rPr>
          <w:rFonts w:ascii="方正仿宋_GBK" w:eastAsia="方正仿宋_GBK" w:hAnsi="方正仿宋_GBK" w:hint="eastAsia"/>
          <w:sz w:val="32"/>
          <w:szCs w:val="20"/>
        </w:rPr>
        <w:t>1、围绕履行三项职能，召开全体会议、常委会议、主席会议、常委会议专题协商会等会议，就国家和地方大政方针以及政治、经济、文化、社会生活中的重大问题；各党派参加人民政协的共同性事务，政协内部重要事项进行协商。</w:t>
      </w:r>
    </w:p>
    <w:p w:rsidR="003847C2" w:rsidRDefault="0059262E">
      <w:pPr>
        <w:overflowPunct w:val="0"/>
        <w:spacing w:line="560" w:lineRule="exact"/>
        <w:ind w:firstLineChars="200" w:firstLine="640"/>
        <w:rPr>
          <w:rFonts w:ascii="方正仿宋_GBK" w:eastAsia="方正仿宋_GBK" w:hAnsi="方正仿宋_GBK"/>
          <w:sz w:val="32"/>
          <w:szCs w:val="20"/>
        </w:rPr>
      </w:pPr>
      <w:r>
        <w:rPr>
          <w:rFonts w:ascii="方正仿宋_GBK" w:eastAsia="方正仿宋_GBK" w:hAnsi="方正仿宋_GBK" w:hint="eastAsia"/>
          <w:sz w:val="32"/>
          <w:szCs w:val="20"/>
        </w:rPr>
        <w:t>2、政协全体会议、常委会议、主席会议向党委和政府提出提案。</w:t>
      </w:r>
    </w:p>
    <w:p w:rsidR="003847C2" w:rsidRDefault="0059262E">
      <w:pPr>
        <w:overflowPunct w:val="0"/>
        <w:spacing w:line="560" w:lineRule="exact"/>
        <w:ind w:firstLineChars="200" w:firstLine="640"/>
        <w:rPr>
          <w:rFonts w:ascii="方正仿宋_GBK" w:eastAsia="方正仿宋_GBK" w:hAnsi="方正仿宋_GBK"/>
          <w:sz w:val="32"/>
          <w:szCs w:val="20"/>
        </w:rPr>
      </w:pPr>
      <w:r>
        <w:rPr>
          <w:rFonts w:ascii="方正仿宋_GBK" w:eastAsia="方正仿宋_GBK" w:hAnsi="方正仿宋_GBK" w:hint="eastAsia"/>
          <w:sz w:val="32"/>
          <w:szCs w:val="20"/>
        </w:rPr>
        <w:t>3、通过委员视察、委员提案、委员来信、大会发言等反映社情民意以及参加党委和政府组织的调查和检查活动等形式，对国家宪法、法律和法规的实施，重大方针政策的贯彻执行，本地区机关及其工作人员的工作开展监督。</w:t>
      </w:r>
    </w:p>
    <w:p w:rsidR="003847C2" w:rsidRDefault="0059262E">
      <w:pPr>
        <w:overflowPunct w:val="0"/>
        <w:spacing w:line="560" w:lineRule="exact"/>
        <w:ind w:firstLineChars="200" w:firstLine="640"/>
        <w:rPr>
          <w:rFonts w:ascii="方正仿宋_GBK" w:eastAsia="方正仿宋_GBK" w:hAnsi="方正仿宋_GBK"/>
          <w:sz w:val="32"/>
          <w:szCs w:val="20"/>
        </w:rPr>
      </w:pPr>
      <w:r>
        <w:rPr>
          <w:rFonts w:ascii="方正仿宋_GBK" w:eastAsia="方正仿宋_GBK" w:hAnsi="方正仿宋_GBK" w:hint="eastAsia"/>
          <w:sz w:val="32"/>
          <w:szCs w:val="20"/>
        </w:rPr>
        <w:t>4、对本地区政治、经济、文化、生态和社会生活中的重要问题和人民群众普遍关心的热点问题，开展调查研究、反映社情民意，通过调研报告、提案、建议案等形式，向区</w:t>
      </w:r>
      <w:r>
        <w:rPr>
          <w:rFonts w:ascii="方正仿宋_GBK" w:eastAsia="方正仿宋_GBK" w:hAnsi="方正仿宋_GBK" w:hint="eastAsia"/>
          <w:sz w:val="32"/>
          <w:szCs w:val="20"/>
        </w:rPr>
        <w:lastRenderedPageBreak/>
        <w:t>有关单位和部门提出意见建议。</w:t>
      </w:r>
    </w:p>
    <w:p w:rsidR="003847C2" w:rsidRDefault="0059262E">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二、机构设置及</w:t>
      </w:r>
      <w:bookmarkEnd w:id="4"/>
      <w:r>
        <w:rPr>
          <w:rFonts w:ascii="黑体" w:eastAsia="黑体" w:hAnsi="黑体" w:cs="宋体" w:hint="eastAsia"/>
          <w:bCs/>
          <w:kern w:val="0"/>
          <w:sz w:val="32"/>
          <w:szCs w:val="32"/>
        </w:rPr>
        <w:t>人员情况</w:t>
      </w:r>
      <w:bookmarkEnd w:id="5"/>
    </w:p>
    <w:p w:rsidR="003847C2" w:rsidRDefault="0059262E">
      <w:pPr>
        <w:spacing w:line="600" w:lineRule="exact"/>
        <w:ind w:firstLineChars="200" w:firstLine="640"/>
        <w:rPr>
          <w:rFonts w:ascii="仿宋_GB2312" w:eastAsia="仿宋_GB2312"/>
          <w:sz w:val="32"/>
          <w:szCs w:val="32"/>
        </w:rPr>
      </w:pPr>
      <w:r>
        <w:rPr>
          <w:rFonts w:ascii="仿宋_GB2312" w:eastAsia="仿宋_GB2312" w:hint="eastAsia"/>
          <w:sz w:val="32"/>
          <w:szCs w:val="32"/>
        </w:rPr>
        <w:t>中国人民政治协商会议乌鲁木齐新市区委员会2022年度，实有人数9人，其中：在职人员9人，离休人员0人，退休人员0人。</w:t>
      </w:r>
    </w:p>
    <w:p w:rsidR="003847C2" w:rsidRDefault="0059262E">
      <w:pPr>
        <w:spacing w:line="600" w:lineRule="exact"/>
        <w:ind w:firstLineChars="200" w:firstLine="640"/>
        <w:rPr>
          <w:rFonts w:ascii="仿宋_GB2312" w:eastAsia="仿宋_GB2312"/>
          <w:sz w:val="32"/>
          <w:szCs w:val="32"/>
        </w:rPr>
      </w:pPr>
      <w:r>
        <w:rPr>
          <w:rFonts w:ascii="仿宋_GB2312" w:eastAsia="仿宋_GB2312" w:hint="eastAsia"/>
          <w:sz w:val="32"/>
          <w:szCs w:val="32"/>
        </w:rPr>
        <w:t>从部门决算单位构成看,中国人民政治协商会议乌鲁木齐新市区委员会部门决算包括:中国人民政治协商会议乌鲁木齐新市区委员会部门本级决算及所属单位决算。单位无下属预算单位，下设2个处室，分别是：政协办公室、政协专委会工作科</w:t>
      </w:r>
      <w:r>
        <w:rPr>
          <w:rFonts w:ascii="仿宋_GB2312" w:eastAsia="仿宋_GB2312" w:hint="eastAsia"/>
          <w:sz w:val="32"/>
          <w:szCs w:val="32"/>
          <w:lang w:val="zh-CN"/>
        </w:rPr>
        <w:t>。</w:t>
      </w:r>
    </w:p>
    <w:p w:rsidR="003847C2" w:rsidRDefault="003847C2">
      <w:pPr>
        <w:ind w:firstLineChars="200" w:firstLine="640"/>
        <w:jc w:val="center"/>
        <w:outlineLvl w:val="0"/>
        <w:rPr>
          <w:rFonts w:ascii="黑体" w:eastAsia="黑体" w:hAnsi="黑体"/>
          <w:sz w:val="32"/>
          <w:szCs w:val="32"/>
        </w:rPr>
      </w:pPr>
      <w:bookmarkStart w:id="6" w:name="_Toc3092"/>
      <w:bookmarkStart w:id="7" w:name="_Toc29374"/>
    </w:p>
    <w:p w:rsidR="003847C2" w:rsidRDefault="0059262E">
      <w:pPr>
        <w:ind w:firstLineChars="200" w:firstLine="640"/>
        <w:jc w:val="center"/>
        <w:outlineLvl w:val="0"/>
        <w:rPr>
          <w:rFonts w:ascii="黑体" w:eastAsia="黑体" w:hAnsi="黑体"/>
          <w:sz w:val="32"/>
          <w:szCs w:val="32"/>
        </w:rPr>
      </w:pPr>
      <w:r>
        <w:rPr>
          <w:rFonts w:ascii="黑体" w:eastAsia="黑体" w:hAnsi="黑体" w:hint="eastAsia"/>
          <w:sz w:val="32"/>
          <w:szCs w:val="32"/>
        </w:rPr>
        <w:t>第二部分 部门决算情况说明</w:t>
      </w:r>
      <w:bookmarkEnd w:id="6"/>
      <w:bookmarkEnd w:id="7"/>
    </w:p>
    <w:p w:rsidR="003847C2" w:rsidRDefault="0059262E">
      <w:pPr>
        <w:ind w:firstLineChars="200" w:firstLine="640"/>
        <w:outlineLvl w:val="1"/>
        <w:rPr>
          <w:rFonts w:ascii="黑体" w:eastAsia="黑体" w:hAnsi="黑体" w:cs="宋体"/>
          <w:bCs/>
          <w:kern w:val="0"/>
          <w:sz w:val="32"/>
          <w:szCs w:val="32"/>
        </w:rPr>
      </w:pPr>
      <w:bookmarkStart w:id="8" w:name="_Toc25314"/>
      <w:bookmarkStart w:id="9" w:name="_Toc12566"/>
      <w:r>
        <w:rPr>
          <w:rFonts w:ascii="黑体" w:eastAsia="黑体" w:hAnsi="黑体" w:cs="宋体" w:hint="eastAsia"/>
          <w:bCs/>
          <w:kern w:val="0"/>
          <w:sz w:val="32"/>
          <w:szCs w:val="32"/>
        </w:rPr>
        <w:t>一、收入支出决算总体情况说明</w:t>
      </w:r>
      <w:bookmarkEnd w:id="8"/>
      <w:bookmarkEnd w:id="9"/>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2022年度收入总计286.49万元，其中：本年收入合计262.89万元，使用非财政拨款结余0万元，年初结转和结余23.60万元。收入总计与上年相比，减少48.04万元，下降14.36%，主要原因是：公积金、会议费等费用有所降低。</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本年支出总计286.49万元，其中：本年支出合计270.60万元，结余分配0万元，年末结转和结余15.89万元。支出总计与上年相比，减少48.04万元，下降14.36%，主要原因是：公积金、会议费等费用有所降低。</w:t>
      </w:r>
    </w:p>
    <w:p w:rsidR="003847C2" w:rsidRDefault="0059262E">
      <w:pPr>
        <w:ind w:firstLineChars="200" w:firstLine="640"/>
        <w:outlineLvl w:val="1"/>
        <w:rPr>
          <w:rFonts w:ascii="黑体" w:eastAsia="黑体" w:hAnsi="黑体" w:cs="宋体"/>
          <w:bCs/>
          <w:kern w:val="0"/>
          <w:sz w:val="32"/>
          <w:szCs w:val="32"/>
        </w:rPr>
      </w:pPr>
      <w:bookmarkStart w:id="10" w:name="_Toc12142"/>
      <w:bookmarkStart w:id="11" w:name="_Toc1979"/>
      <w:r>
        <w:rPr>
          <w:rFonts w:ascii="黑体" w:eastAsia="黑体" w:hAnsi="黑体" w:cs="宋体" w:hint="eastAsia"/>
          <w:bCs/>
          <w:kern w:val="0"/>
          <w:sz w:val="32"/>
          <w:szCs w:val="32"/>
        </w:rPr>
        <w:t>二、收入决算情况说明</w:t>
      </w:r>
      <w:bookmarkEnd w:id="10"/>
      <w:bookmarkEnd w:id="11"/>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lastRenderedPageBreak/>
        <w:t>2022年度本年收入262.89万元，其中：财政拨款收入262.89万元，占100%；上级补助收入0万元，占0%；事业收入0万元，占0%；经营收入0万元，占0%；无附属单位，无上缴收入；其他收入0万元，占0%。</w:t>
      </w:r>
    </w:p>
    <w:p w:rsidR="003847C2" w:rsidRDefault="0059262E">
      <w:pPr>
        <w:ind w:firstLineChars="200" w:firstLine="640"/>
        <w:outlineLvl w:val="1"/>
        <w:rPr>
          <w:rFonts w:ascii="黑体" w:eastAsia="黑体" w:hAnsi="黑体" w:cs="宋体"/>
          <w:bCs/>
          <w:kern w:val="0"/>
          <w:sz w:val="32"/>
          <w:szCs w:val="32"/>
        </w:rPr>
      </w:pPr>
      <w:bookmarkStart w:id="12" w:name="_Toc13201"/>
      <w:bookmarkStart w:id="13" w:name="_Toc27961"/>
      <w:r>
        <w:rPr>
          <w:rFonts w:ascii="黑体" w:eastAsia="黑体" w:hAnsi="黑体" w:cs="宋体" w:hint="eastAsia"/>
          <w:bCs/>
          <w:kern w:val="0"/>
          <w:sz w:val="32"/>
          <w:szCs w:val="32"/>
        </w:rPr>
        <w:t>三、支出决算情况说明</w:t>
      </w:r>
      <w:bookmarkEnd w:id="12"/>
      <w:bookmarkEnd w:id="13"/>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2022年度本年支出270.60万元，其中：基本支出266.05万元，占98.32%；项目支出4.55万元，占1.68%；上缴上级支出0万元，占0%；经营支出0万元，占0%；无附属单位，无补助支出。</w:t>
      </w:r>
    </w:p>
    <w:p w:rsidR="003847C2" w:rsidRDefault="0059262E">
      <w:pPr>
        <w:ind w:firstLineChars="200" w:firstLine="640"/>
        <w:outlineLvl w:val="1"/>
        <w:rPr>
          <w:rFonts w:ascii="黑体" w:eastAsia="黑体" w:hAnsi="黑体" w:cs="宋体"/>
          <w:bCs/>
          <w:kern w:val="0"/>
          <w:sz w:val="32"/>
          <w:szCs w:val="32"/>
        </w:rPr>
      </w:pPr>
      <w:bookmarkStart w:id="14" w:name="_Toc4393"/>
      <w:bookmarkStart w:id="15" w:name="_Toc26564"/>
      <w:r>
        <w:rPr>
          <w:rFonts w:ascii="黑体" w:eastAsia="黑体" w:hAnsi="黑体" w:cs="宋体" w:hint="eastAsia"/>
          <w:bCs/>
          <w:kern w:val="0"/>
          <w:sz w:val="32"/>
          <w:szCs w:val="32"/>
        </w:rPr>
        <w:t>四、财政拨款收入支出决算总体情况说明</w:t>
      </w:r>
      <w:bookmarkEnd w:id="14"/>
      <w:bookmarkEnd w:id="15"/>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年度财政拨款收入总计284.73万元，其中：年初财政拨款结转和结余21.84万元，财政拨款本年收入262.89万元。财政拨款收入总计与上年相比，减少47.88万元，下降14.40%，主要原因是：公积金、会议费等费用有所降低。</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财政拨款支出总计284.73万元，其中：年末财政拨款结转和结余15.82万元，财政拨款本年支出268.91万元。财政拨款支出总计与上年相比，减少47.88万元，下降14.40%，主要原因是：公积金、会议费等费用有所降低。</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与年初预算数相比情况：财政拨款收入总计年初预算数251.33万元，决算数284.73万元，预决算差异率13.29%，主要原因是：人员调资及公积金社保调整等。财政拨款支出总计年初预算数251.33万元，决算数284.73万元，预决算</w:t>
      </w:r>
      <w:r>
        <w:rPr>
          <w:rFonts w:ascii="仿宋_GB2312" w:eastAsia="仿宋_GB2312" w:hint="eastAsia"/>
          <w:sz w:val="32"/>
          <w:szCs w:val="32"/>
        </w:rPr>
        <w:lastRenderedPageBreak/>
        <w:t>差异率13.29%，主要原因是：人员调资及公积金社保调整等。</w:t>
      </w:r>
    </w:p>
    <w:p w:rsidR="003847C2" w:rsidRDefault="0059262E">
      <w:pPr>
        <w:ind w:firstLineChars="200" w:firstLine="640"/>
        <w:outlineLvl w:val="1"/>
        <w:rPr>
          <w:rFonts w:ascii="黑体" w:eastAsia="黑体" w:hAnsi="黑体" w:cs="宋体"/>
          <w:bCs/>
          <w:kern w:val="0"/>
          <w:sz w:val="32"/>
          <w:szCs w:val="32"/>
        </w:rPr>
      </w:pPr>
      <w:bookmarkStart w:id="16" w:name="_Toc13833"/>
      <w:bookmarkStart w:id="17" w:name="_Toc20360"/>
      <w:r>
        <w:rPr>
          <w:rFonts w:ascii="黑体" w:eastAsia="黑体" w:hAnsi="黑体" w:cs="宋体" w:hint="eastAsia"/>
          <w:bCs/>
          <w:kern w:val="0"/>
          <w:sz w:val="32"/>
          <w:szCs w:val="32"/>
        </w:rPr>
        <w:t>五、一般公共预算财政拨款支出决算情况说明</w:t>
      </w:r>
      <w:bookmarkEnd w:id="16"/>
      <w:bookmarkEnd w:id="17"/>
    </w:p>
    <w:p w:rsidR="003847C2" w:rsidRDefault="0059262E">
      <w:pPr>
        <w:ind w:firstLineChars="200" w:firstLine="640"/>
        <w:outlineLvl w:val="2"/>
        <w:rPr>
          <w:rFonts w:ascii="黑体" w:eastAsia="黑体" w:hAnsi="黑体"/>
          <w:sz w:val="32"/>
          <w:szCs w:val="32"/>
        </w:rPr>
      </w:pPr>
      <w:r>
        <w:rPr>
          <w:rFonts w:ascii="黑体" w:eastAsia="黑体" w:hAnsi="黑体" w:hint="eastAsia"/>
          <w:sz w:val="32"/>
          <w:szCs w:val="32"/>
        </w:rPr>
        <w:t>（一）一般公共预算财政拨款支出决算总体情况</w:t>
      </w:r>
    </w:p>
    <w:p w:rsidR="003847C2" w:rsidRDefault="0059262E">
      <w:pPr>
        <w:ind w:firstLineChars="200" w:firstLine="640"/>
        <w:outlineLvl w:val="2"/>
        <w:rPr>
          <w:rFonts w:ascii="仿宋_GB2312" w:eastAsia="仿宋_GB2312"/>
          <w:sz w:val="32"/>
          <w:szCs w:val="32"/>
        </w:rPr>
      </w:pPr>
      <w:r>
        <w:rPr>
          <w:rFonts w:ascii="仿宋_GB2312" w:eastAsia="仿宋_GB2312" w:hint="eastAsia"/>
          <w:sz w:val="32"/>
          <w:szCs w:val="32"/>
        </w:rPr>
        <w:t>2022年度一般公共预算财政拨款支出268.91万元，占本年支出合计的99.38%，与上年相比，减少41.85万元，下降13.47%，主要原因是：公积金、会议费等费用有所降低。</w:t>
      </w:r>
    </w:p>
    <w:p w:rsidR="003847C2" w:rsidRDefault="0059262E">
      <w:pPr>
        <w:ind w:firstLineChars="200" w:firstLine="640"/>
        <w:outlineLvl w:val="2"/>
        <w:rPr>
          <w:rFonts w:ascii="黑体" w:eastAsia="黑体" w:hAnsi="黑体"/>
          <w:sz w:val="32"/>
          <w:szCs w:val="32"/>
        </w:rPr>
      </w:pPr>
      <w:r>
        <w:rPr>
          <w:rFonts w:ascii="黑体" w:eastAsia="黑体" w:hAnsi="黑体" w:hint="eastAsia"/>
          <w:sz w:val="32"/>
          <w:szCs w:val="32"/>
        </w:rPr>
        <w:t>（二）一般公共预算财政拨款支出决算结构情况</w:t>
      </w:r>
    </w:p>
    <w:p w:rsidR="003847C2" w:rsidRDefault="0059262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1.一般公共服务支出（类）</w:t>
      </w:r>
      <w:r>
        <w:rPr>
          <w:rFonts w:ascii="仿宋_GB2312" w:eastAsia="仿宋_GB2312" w:hint="eastAsia"/>
          <w:sz w:val="32"/>
          <w:szCs w:val="32"/>
        </w:rPr>
        <w:t>241.13</w:t>
      </w:r>
      <w:r>
        <w:rPr>
          <w:rFonts w:ascii="仿宋_GB2312" w:eastAsia="仿宋_GB2312" w:hAnsi="仿宋_GB2312" w:cs="仿宋_GB2312" w:hint="eastAsia"/>
          <w:kern w:val="0"/>
          <w:sz w:val="32"/>
          <w:szCs w:val="32"/>
        </w:rPr>
        <w:t>万元，占</w:t>
      </w:r>
      <w:r>
        <w:rPr>
          <w:rFonts w:ascii="仿宋_GB2312" w:eastAsia="仿宋_GB2312" w:hint="eastAsia"/>
          <w:sz w:val="32"/>
          <w:szCs w:val="32"/>
        </w:rPr>
        <w:t>89.67</w:t>
      </w:r>
      <w:r>
        <w:rPr>
          <w:rFonts w:ascii="仿宋_GB2312" w:eastAsia="仿宋_GB2312" w:hAnsi="仿宋_GB2312" w:cs="仿宋_GB2312" w:hint="eastAsia"/>
          <w:kern w:val="0"/>
          <w:sz w:val="32"/>
          <w:szCs w:val="32"/>
        </w:rPr>
        <w:t>%。</w:t>
      </w:r>
    </w:p>
    <w:p w:rsidR="003847C2" w:rsidRDefault="0059262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2.社会保障和就业支出（类）27.78万元，占10.33%。</w:t>
      </w:r>
    </w:p>
    <w:p w:rsidR="003847C2" w:rsidRDefault="0059262E">
      <w:pPr>
        <w:ind w:firstLineChars="200" w:firstLine="640"/>
        <w:outlineLvl w:val="2"/>
        <w:rPr>
          <w:rFonts w:ascii="黑体" w:eastAsia="黑体" w:hAnsi="黑体"/>
          <w:sz w:val="32"/>
          <w:szCs w:val="32"/>
        </w:rPr>
      </w:pPr>
      <w:r>
        <w:rPr>
          <w:rFonts w:ascii="黑体" w:eastAsia="黑体" w:hAnsi="黑体" w:hint="eastAsia"/>
          <w:sz w:val="32"/>
          <w:szCs w:val="32"/>
        </w:rPr>
        <w:t>（三）一般公共预算财政拨款支出决算具体情况</w:t>
      </w:r>
    </w:p>
    <w:p w:rsidR="003847C2" w:rsidRDefault="0059262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1.一般公共服务</w:t>
      </w:r>
      <w:r>
        <w:rPr>
          <w:rFonts w:ascii="仿宋_GB2312" w:eastAsia="仿宋_GB2312" w:hAnsi="仿宋_GB2312" w:cs="仿宋_GB2312" w:hint="eastAsia"/>
          <w:sz w:val="32"/>
          <w:szCs w:val="32"/>
        </w:rPr>
        <w:t>（类）</w:t>
      </w:r>
      <w:r>
        <w:rPr>
          <w:rFonts w:ascii="仿宋_GB2312" w:eastAsia="仿宋_GB2312" w:hAnsi="仿宋_GB2312" w:cs="仿宋_GB2312" w:hint="eastAsia"/>
          <w:kern w:val="0"/>
          <w:sz w:val="32"/>
          <w:szCs w:val="32"/>
        </w:rPr>
        <w:t>政协事务(款)行政运行（项）:支出决算数为238.27万元，比上年决算增加28.07万元，增加13.35%，主要原因是：调资后增加。</w:t>
      </w:r>
    </w:p>
    <w:p w:rsidR="003847C2" w:rsidRDefault="0059262E">
      <w:pPr>
        <w:spacing w:line="600" w:lineRule="exact"/>
        <w:ind w:firstLineChars="200" w:firstLine="640"/>
      </w:pPr>
      <w:r>
        <w:rPr>
          <w:rFonts w:ascii="仿宋_GB2312" w:eastAsia="仿宋_GB2312" w:hAnsi="仿宋_GB2312" w:cs="仿宋_GB2312" w:hint="eastAsia"/>
          <w:kern w:val="0"/>
          <w:sz w:val="32"/>
          <w:szCs w:val="32"/>
        </w:rPr>
        <w:t>2.一般公共服务</w:t>
      </w:r>
      <w:r>
        <w:rPr>
          <w:rFonts w:ascii="仿宋_GB2312" w:eastAsia="仿宋_GB2312" w:hAnsi="仿宋_GB2312" w:cs="仿宋_GB2312" w:hint="eastAsia"/>
          <w:sz w:val="32"/>
          <w:szCs w:val="32"/>
        </w:rPr>
        <w:t>（类）</w:t>
      </w:r>
      <w:r>
        <w:rPr>
          <w:rFonts w:ascii="仿宋_GB2312" w:eastAsia="仿宋_GB2312" w:hAnsi="仿宋_GB2312" w:cs="仿宋_GB2312" w:hint="eastAsia"/>
          <w:kern w:val="0"/>
          <w:sz w:val="32"/>
          <w:szCs w:val="32"/>
        </w:rPr>
        <w:t>政协事务(款)一般行政管理事务（款）</w:t>
      </w:r>
      <w:r>
        <w:rPr>
          <w:rFonts w:ascii="仿宋_GB2312" w:eastAsia="仿宋_GB2312" w:cs="仿宋_GB2312" w:hint="eastAsia"/>
          <w:kern w:val="0"/>
          <w:sz w:val="32"/>
          <w:szCs w:val="32"/>
        </w:rPr>
        <w:t>支出决算数为0万元，比上年减少18.86万元，下降100%，主要原因是：本年单位无此项支出。</w:t>
      </w:r>
    </w:p>
    <w:p w:rsidR="003847C2" w:rsidRDefault="0059262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3.一般公共服务</w:t>
      </w:r>
      <w:r>
        <w:rPr>
          <w:rFonts w:ascii="仿宋_GB2312" w:eastAsia="仿宋_GB2312" w:hAnsi="仿宋_GB2312" w:cs="仿宋_GB2312" w:hint="eastAsia"/>
          <w:sz w:val="32"/>
          <w:szCs w:val="32"/>
        </w:rPr>
        <w:t>（类）</w:t>
      </w:r>
      <w:r>
        <w:rPr>
          <w:rFonts w:ascii="仿宋_GB2312" w:eastAsia="仿宋_GB2312" w:hAnsi="仿宋_GB2312" w:cs="仿宋_GB2312" w:hint="eastAsia"/>
          <w:kern w:val="0"/>
          <w:sz w:val="32"/>
          <w:szCs w:val="32"/>
        </w:rPr>
        <w:t>政协事务(款) 其他政协事务支出（项）:支出决算数为2.86万元，比上年决算减少28.84万元，减少90.98%，主要原因是：会议费减少。</w:t>
      </w:r>
    </w:p>
    <w:p w:rsidR="003847C2" w:rsidRDefault="0059262E">
      <w:pPr>
        <w:spacing w:line="600" w:lineRule="exact"/>
        <w:ind w:firstLineChars="200" w:firstLine="640"/>
        <w:rPr>
          <w:rFonts w:ascii="仿宋_GB2312" w:eastAsia="仿宋_GB2312" w:cs="仿宋_GB2312"/>
          <w:kern w:val="0"/>
          <w:sz w:val="32"/>
          <w:szCs w:val="32"/>
        </w:rPr>
      </w:pPr>
      <w:r>
        <w:rPr>
          <w:rFonts w:ascii="仿宋_GB2312" w:eastAsia="仿宋_GB2312" w:hAnsi="仿宋_GB2312" w:cs="仿宋_GB2312" w:hint="eastAsia"/>
          <w:sz w:val="32"/>
          <w:szCs w:val="32"/>
        </w:rPr>
        <w:t>4.公共安全支出（类）其他公共安全支出（款）其他公共安全支出（项）</w:t>
      </w:r>
      <w:r>
        <w:rPr>
          <w:rFonts w:ascii="仿宋_GB2312" w:eastAsia="仿宋_GB2312" w:cs="仿宋_GB2312" w:hint="eastAsia"/>
          <w:kern w:val="0"/>
          <w:sz w:val="32"/>
          <w:szCs w:val="32"/>
        </w:rPr>
        <w:t>：支出决算数为0万元，比上年减少15.3万元，下降100%，主要原因是：本年单位无此项支出。</w:t>
      </w:r>
    </w:p>
    <w:p w:rsidR="003847C2" w:rsidRDefault="0059262E">
      <w:pPr>
        <w:pStyle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5.社会保障和就业支出</w:t>
      </w:r>
      <w:r>
        <w:rPr>
          <w:rFonts w:ascii="仿宋_GB2312" w:eastAsia="仿宋_GB2312" w:hAnsi="仿宋_GB2312" w:cs="仿宋_GB2312" w:hint="eastAsia"/>
          <w:sz w:val="32"/>
          <w:szCs w:val="32"/>
        </w:rPr>
        <w:t>（类）</w:t>
      </w:r>
      <w:r>
        <w:rPr>
          <w:rFonts w:ascii="仿宋_GB2312" w:eastAsia="仿宋_GB2312" w:hAnsi="仿宋_GB2312" w:cs="仿宋_GB2312" w:hint="eastAsia"/>
          <w:kern w:val="0"/>
          <w:sz w:val="32"/>
          <w:szCs w:val="32"/>
        </w:rPr>
        <w:t>行政事业单位养老支出(款)机关事业单位基本养老保险缴费支出（项）:支出决算数为20.37万元，比上年决算增加5.39万元，增加35.98%，主要原因是：社保增加。</w:t>
      </w:r>
    </w:p>
    <w:p w:rsidR="003847C2" w:rsidRDefault="0059262E">
      <w:pPr>
        <w:pStyle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6.社会保障和就业支出</w:t>
      </w:r>
      <w:r>
        <w:rPr>
          <w:rFonts w:ascii="仿宋_GB2312" w:eastAsia="仿宋_GB2312" w:hAnsi="仿宋_GB2312" w:cs="仿宋_GB2312" w:hint="eastAsia"/>
          <w:sz w:val="32"/>
          <w:szCs w:val="32"/>
        </w:rPr>
        <w:t>（类）</w:t>
      </w:r>
      <w:r>
        <w:rPr>
          <w:rFonts w:ascii="仿宋_GB2312" w:eastAsia="仿宋_GB2312" w:hAnsi="仿宋_GB2312" w:cs="仿宋_GB2312" w:hint="eastAsia"/>
          <w:kern w:val="0"/>
          <w:sz w:val="32"/>
          <w:szCs w:val="32"/>
        </w:rPr>
        <w:t>行政事业单位养老支出(款) 机关事业单位职业年金缴费支出（项）:支出决算数为7.41万元，比上年决算19.72万元减少12.31万元，减少62.42%，主要原因是：职业年金减少。</w:t>
      </w:r>
    </w:p>
    <w:p w:rsidR="003847C2" w:rsidRDefault="0059262E">
      <w:pPr>
        <w:ind w:firstLineChars="200" w:firstLine="640"/>
        <w:outlineLvl w:val="1"/>
        <w:rPr>
          <w:rFonts w:ascii="黑体" w:eastAsia="黑体" w:hAnsi="黑体" w:cs="宋体"/>
          <w:bCs/>
          <w:kern w:val="0"/>
          <w:sz w:val="32"/>
          <w:szCs w:val="32"/>
        </w:rPr>
      </w:pPr>
      <w:bookmarkStart w:id="18" w:name="_Toc11146"/>
      <w:bookmarkStart w:id="19" w:name="_Toc30870"/>
      <w:r>
        <w:rPr>
          <w:rFonts w:ascii="黑体" w:eastAsia="黑体" w:hAnsi="黑体" w:cs="宋体" w:hint="eastAsia"/>
          <w:bCs/>
          <w:kern w:val="0"/>
          <w:sz w:val="32"/>
          <w:szCs w:val="32"/>
        </w:rPr>
        <w:t>六、一般公共预算财政拨款基本支出决算情况说明</w:t>
      </w:r>
      <w:bookmarkEnd w:id="18"/>
      <w:bookmarkEnd w:id="19"/>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2022年度一般公共预算财政拨款基本支出266.05万元，其中：</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 xml:space="preserve"> 人员经费261.75万元，包括：基本工资、津贴补贴、奖金、机关事业单位基本养老保险缴费、职业年金缴费、职工基本医疗保险缴费、公务员医疗补助缴费、其他社会保障缴费、住房公积金、其他工资福利支出。</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公用经费4.30万元，包括：办公费、水费、电费、邮电费、维修（护）费、工会经费。</w:t>
      </w:r>
    </w:p>
    <w:p w:rsidR="003847C2" w:rsidRDefault="0059262E">
      <w:pPr>
        <w:ind w:firstLineChars="200" w:firstLine="640"/>
        <w:outlineLvl w:val="1"/>
        <w:rPr>
          <w:rFonts w:ascii="黑体" w:eastAsia="黑体" w:hAnsi="黑体" w:cs="宋体"/>
          <w:bCs/>
          <w:kern w:val="0"/>
          <w:sz w:val="32"/>
          <w:szCs w:val="32"/>
        </w:rPr>
      </w:pPr>
      <w:bookmarkStart w:id="20" w:name="_Toc7190"/>
      <w:bookmarkStart w:id="21" w:name="_Toc21518"/>
      <w:r>
        <w:rPr>
          <w:rFonts w:ascii="黑体" w:eastAsia="黑体" w:hAnsi="黑体" w:cs="宋体" w:hint="eastAsia"/>
          <w:bCs/>
          <w:kern w:val="0"/>
          <w:sz w:val="32"/>
          <w:szCs w:val="32"/>
        </w:rPr>
        <w:t>七、财政拨款“三公”经费支出决算情况说明</w:t>
      </w:r>
      <w:bookmarkEnd w:id="20"/>
      <w:bookmarkEnd w:id="21"/>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2022年度财政拨款“三公”经费支出决算0万元，比上年增加0万元，增长0%，主要原因是：本年无此项支出。其中：因公出国（境）费支出0万元，占0%，比上年增加0万</w:t>
      </w:r>
      <w:r>
        <w:rPr>
          <w:rFonts w:ascii="仿宋_GB2312" w:eastAsia="仿宋_GB2312" w:hint="eastAsia"/>
          <w:sz w:val="32"/>
          <w:szCs w:val="32"/>
        </w:rPr>
        <w:lastRenderedPageBreak/>
        <w:t>元，增长0%，主要原因是：本年无此项支出；公务用车购置及运行维护费支出0万元，占0%，比上年增加0万元，增长0%，主要原因是：本年无此项支出；公务接待费支出0万元，占0%，比上年增加0万元，增长0%，主要原因是：本年无此项支出。具体情况如下：</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因公出国（境）费支出0万元，开支内容，本年无此项支出。单位全年安排的因公出国（境）团组0个，因公出国（境）0人次。</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公务用车购置及运行维护费0万元，其中：公务用车购置费0万元，公务用车运行维护费0万元。公务用车运行维护费开支内容，本年无此项支出。公务用车购置数0辆，公务用车保有量0辆。</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公务接待费0万元，开支内容，本年无此项支出。单位全年安排的国内公务接待0批次，0人次。</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与全年预算数相比情况：“三公”经费支出全年预算数0万元，决算数0万元，预决算差异率0%，主要原因是：本年无此项支出。</w:t>
      </w:r>
      <w:r>
        <w:rPr>
          <w:rFonts w:ascii="仿宋_GB2312" w:eastAsia="仿宋_GB2312" w:hAnsi="宋体" w:cs="宋体" w:hint="eastAsia"/>
          <w:kern w:val="0"/>
          <w:sz w:val="32"/>
          <w:szCs w:val="32"/>
        </w:rPr>
        <w:t>其中：因公出国（境）费全年预算数</w:t>
      </w:r>
      <w:r>
        <w:rPr>
          <w:rFonts w:ascii="仿宋_GB2312" w:eastAsia="仿宋_GB2312" w:hint="eastAsia"/>
          <w:sz w:val="32"/>
          <w:szCs w:val="32"/>
        </w:rPr>
        <w:t>0万元，决算数0万元，预决算差异率0%，主要原因是：本年无此项支出；</w:t>
      </w:r>
      <w:r>
        <w:rPr>
          <w:rFonts w:ascii="仿宋_GB2312" w:eastAsia="仿宋_GB2312" w:hAnsi="宋体" w:cs="宋体" w:hint="eastAsia"/>
          <w:kern w:val="0"/>
          <w:sz w:val="32"/>
          <w:szCs w:val="32"/>
        </w:rPr>
        <w:t>公务用车购置</w:t>
      </w:r>
      <w:r>
        <w:rPr>
          <w:rFonts w:ascii="仿宋_GB2312" w:eastAsia="仿宋_GB2312" w:hint="eastAsia"/>
          <w:sz w:val="32"/>
          <w:szCs w:val="32"/>
        </w:rPr>
        <w:t>费全年预算数0万元，决算数0万元，预决算差异率0%，主要原因是：本年无此项支出；</w:t>
      </w:r>
      <w:r>
        <w:rPr>
          <w:rFonts w:ascii="仿宋_GB2312" w:eastAsia="仿宋_GB2312" w:hAnsi="宋体" w:cs="宋体" w:hint="eastAsia"/>
          <w:kern w:val="0"/>
          <w:sz w:val="32"/>
          <w:szCs w:val="32"/>
        </w:rPr>
        <w:t>公务用车运行费全年</w:t>
      </w:r>
      <w:r>
        <w:rPr>
          <w:rFonts w:ascii="仿宋_GB2312" w:eastAsia="仿宋_GB2312" w:hint="eastAsia"/>
          <w:sz w:val="32"/>
          <w:szCs w:val="32"/>
        </w:rPr>
        <w:t>预算数0万元，决算数0万元，预决算差异率0%，主要原因是：本年无此项支出；</w:t>
      </w:r>
      <w:r>
        <w:rPr>
          <w:rFonts w:ascii="仿宋_GB2312" w:eastAsia="仿宋_GB2312" w:hAnsi="宋体" w:cs="宋体" w:hint="eastAsia"/>
          <w:kern w:val="0"/>
          <w:sz w:val="32"/>
          <w:szCs w:val="32"/>
        </w:rPr>
        <w:t>公务接待费全年</w:t>
      </w:r>
      <w:r>
        <w:rPr>
          <w:rFonts w:ascii="仿宋_GB2312" w:eastAsia="仿宋_GB2312" w:hint="eastAsia"/>
          <w:sz w:val="32"/>
          <w:szCs w:val="32"/>
        </w:rPr>
        <w:t>预算数0万</w:t>
      </w:r>
      <w:r>
        <w:rPr>
          <w:rFonts w:ascii="仿宋_GB2312" w:eastAsia="仿宋_GB2312" w:hint="eastAsia"/>
          <w:sz w:val="32"/>
          <w:szCs w:val="32"/>
        </w:rPr>
        <w:lastRenderedPageBreak/>
        <w:t>元，决算数0万元，预决算差异率0%，主要原因是：本年无此项支出。</w:t>
      </w:r>
    </w:p>
    <w:p w:rsidR="003847C2" w:rsidRDefault="0059262E">
      <w:pPr>
        <w:ind w:firstLineChars="200" w:firstLine="640"/>
        <w:outlineLvl w:val="1"/>
        <w:rPr>
          <w:rFonts w:ascii="黑体" w:eastAsia="黑体" w:hAnsi="黑体" w:cs="宋体"/>
          <w:bCs/>
          <w:kern w:val="0"/>
          <w:sz w:val="32"/>
          <w:szCs w:val="32"/>
        </w:rPr>
      </w:pPr>
      <w:bookmarkStart w:id="22" w:name="_Toc7927"/>
      <w:bookmarkStart w:id="23" w:name="_Toc5810"/>
      <w:r>
        <w:rPr>
          <w:rFonts w:ascii="黑体" w:eastAsia="黑体" w:hAnsi="黑体" w:cs="宋体" w:hint="eastAsia"/>
          <w:bCs/>
          <w:kern w:val="0"/>
          <w:sz w:val="32"/>
          <w:szCs w:val="32"/>
        </w:rPr>
        <w:t>八、政府性基金预算财政拨款收入支出决算情况说明</w:t>
      </w:r>
      <w:bookmarkEnd w:id="22"/>
      <w:bookmarkEnd w:id="23"/>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我单位本年度无政府性基金预算财政拨款收入、支出及结转和结余，政府性基金预算财政拨款收入支出决算表为空表。</w:t>
      </w:r>
    </w:p>
    <w:p w:rsidR="003847C2" w:rsidRDefault="0059262E">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九、国有资本经营预算财政拨款收入支出决算情况说明</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我单位本年度无国有资本经营预算财政拨款收入、支出及结转和结余，国有资本经营预算财政拨款收入支出决算表为空表。</w:t>
      </w:r>
    </w:p>
    <w:p w:rsidR="003847C2" w:rsidRDefault="0059262E">
      <w:pPr>
        <w:ind w:firstLineChars="200" w:firstLine="640"/>
        <w:outlineLvl w:val="1"/>
        <w:rPr>
          <w:rFonts w:ascii="黑体" w:eastAsia="黑体" w:hAnsi="黑体" w:cs="宋体"/>
          <w:bCs/>
          <w:kern w:val="0"/>
          <w:sz w:val="32"/>
          <w:szCs w:val="32"/>
        </w:rPr>
      </w:pPr>
      <w:bookmarkStart w:id="24" w:name="_Toc7314"/>
      <w:bookmarkStart w:id="25" w:name="_Toc1235"/>
      <w:r>
        <w:rPr>
          <w:rFonts w:ascii="黑体" w:eastAsia="黑体" w:hAnsi="黑体" w:cs="宋体" w:hint="eastAsia"/>
          <w:bCs/>
          <w:kern w:val="0"/>
          <w:sz w:val="32"/>
          <w:szCs w:val="32"/>
        </w:rPr>
        <w:t>十、其他重要事项的情况说明</w:t>
      </w:r>
      <w:bookmarkEnd w:id="24"/>
      <w:bookmarkEnd w:id="25"/>
    </w:p>
    <w:p w:rsidR="003847C2" w:rsidRDefault="0059262E">
      <w:pPr>
        <w:ind w:firstLineChars="200" w:firstLine="640"/>
        <w:outlineLvl w:val="2"/>
        <w:rPr>
          <w:rFonts w:ascii="黑体" w:eastAsia="黑体" w:hAnsi="黑体"/>
          <w:sz w:val="32"/>
          <w:szCs w:val="32"/>
        </w:rPr>
      </w:pPr>
      <w:bookmarkStart w:id="26" w:name="_Toc13105"/>
      <w:bookmarkStart w:id="27" w:name="_Toc14519"/>
      <w:r>
        <w:rPr>
          <w:rFonts w:ascii="黑体" w:eastAsia="黑体" w:hAnsi="黑体" w:hint="eastAsia"/>
          <w:sz w:val="32"/>
          <w:szCs w:val="32"/>
        </w:rPr>
        <w:t>（一）机关运行经费支出情况</w:t>
      </w:r>
      <w:bookmarkEnd w:id="26"/>
      <w:bookmarkEnd w:id="27"/>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2022年度中国人民政治协商会议乌鲁木齐市新市区委员会机关运行经费4.30万元，比上年减少6.15万元，下降58.86%，主要原因是：节约机关办公支出。</w:t>
      </w:r>
    </w:p>
    <w:p w:rsidR="003847C2" w:rsidRDefault="0059262E">
      <w:pPr>
        <w:ind w:firstLineChars="200" w:firstLine="640"/>
        <w:outlineLvl w:val="2"/>
        <w:rPr>
          <w:rFonts w:ascii="黑体" w:eastAsia="黑体" w:hAnsi="黑体"/>
          <w:sz w:val="32"/>
          <w:szCs w:val="32"/>
        </w:rPr>
      </w:pPr>
      <w:bookmarkStart w:id="28" w:name="_Toc227"/>
      <w:bookmarkStart w:id="29" w:name="_Toc26704"/>
      <w:r>
        <w:rPr>
          <w:rFonts w:ascii="黑体" w:eastAsia="黑体" w:hAnsi="黑体" w:hint="eastAsia"/>
          <w:sz w:val="32"/>
          <w:szCs w:val="32"/>
        </w:rPr>
        <w:t>（二）政府采购情况</w:t>
      </w:r>
      <w:bookmarkEnd w:id="28"/>
      <w:bookmarkEnd w:id="29"/>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2022年度政府采购支出总额0.19万元，其中：政府采购货物支出0.19万元、政府采购工程支出0万元、政府采购服务支出0万元。</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授予中小企业合同金额0.19万元，占政府采购支出总额的100%，其中：授予小微企业合同金额0.19万元，占政府采购支出总额的100%。</w:t>
      </w:r>
    </w:p>
    <w:p w:rsidR="003847C2" w:rsidRDefault="0059262E">
      <w:pPr>
        <w:ind w:firstLineChars="200" w:firstLine="640"/>
        <w:outlineLvl w:val="2"/>
        <w:rPr>
          <w:rFonts w:ascii="黑体" w:eastAsia="黑体" w:hAnsi="黑体"/>
          <w:sz w:val="32"/>
          <w:szCs w:val="32"/>
        </w:rPr>
      </w:pPr>
      <w:bookmarkStart w:id="30" w:name="_Toc8391"/>
      <w:bookmarkStart w:id="31" w:name="_Toc4591"/>
      <w:r>
        <w:rPr>
          <w:rFonts w:ascii="黑体" w:eastAsia="黑体" w:hAnsi="黑体" w:hint="eastAsia"/>
          <w:sz w:val="32"/>
          <w:szCs w:val="32"/>
        </w:rPr>
        <w:lastRenderedPageBreak/>
        <w:t>（三）国有资产占用情况说明</w:t>
      </w:r>
      <w:bookmarkEnd w:id="30"/>
      <w:bookmarkEnd w:id="31"/>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截止2022年12月31日，固定资产原值100.28万元，房屋0平方米，价值0万元。车辆3辆，价值46.37万元，</w:t>
      </w:r>
      <w:r w:rsidR="00E95C2E">
        <w:rPr>
          <w:rFonts w:ascii="仿宋_GB2312" w:eastAsia="仿宋_GB2312" w:hint="eastAsia"/>
          <w:sz w:val="32"/>
          <w:szCs w:val="32"/>
        </w:rPr>
        <w:t>其中：副部（省）级及以上领导用车0辆、主要领导干部用车0辆、机要通信用车0辆、应急保障用车0辆、执法执勤用车0辆、特种专业技术用车0辆、离退休干部用车0辆、其他用车3辆，其他用车主要是：业务</w:t>
      </w:r>
      <w:r w:rsidR="00E95C2E">
        <w:rPr>
          <w:rFonts w:ascii="仿宋_GB2312" w:eastAsia="仿宋_GB2312"/>
          <w:sz w:val="32"/>
          <w:szCs w:val="32"/>
        </w:rPr>
        <w:t>用车</w:t>
      </w:r>
      <w:r>
        <w:rPr>
          <w:rFonts w:ascii="仿宋_GB2312" w:eastAsia="仿宋_GB2312" w:hint="eastAsia"/>
          <w:sz w:val="32"/>
          <w:szCs w:val="32"/>
        </w:rPr>
        <w:t>。</w:t>
      </w:r>
      <w:r w:rsidR="00063183" w:rsidRPr="00063183">
        <w:rPr>
          <w:rFonts w:ascii="仿宋_GB2312" w:eastAsia="仿宋_GB2312" w:hint="eastAsia"/>
          <w:sz w:val="32"/>
          <w:szCs w:val="32"/>
        </w:rPr>
        <w:t>单价100万元（含）以上设备（不含车辆）0台（套）。</w:t>
      </w:r>
      <w:bookmarkStart w:id="32" w:name="_GoBack"/>
      <w:bookmarkEnd w:id="32"/>
    </w:p>
    <w:p w:rsidR="003847C2" w:rsidRDefault="0059262E">
      <w:pPr>
        <w:ind w:firstLineChars="200" w:firstLine="640"/>
        <w:outlineLvl w:val="1"/>
        <w:rPr>
          <w:rFonts w:ascii="黑体" w:eastAsia="黑体" w:hAnsi="黑体" w:cs="宋体"/>
          <w:bCs/>
          <w:kern w:val="0"/>
          <w:sz w:val="32"/>
          <w:szCs w:val="32"/>
        </w:rPr>
      </w:pPr>
      <w:bookmarkStart w:id="33" w:name="_Toc11283"/>
      <w:bookmarkStart w:id="34" w:name="_Toc435"/>
      <w:r>
        <w:rPr>
          <w:rFonts w:ascii="黑体" w:eastAsia="黑体" w:hAnsi="黑体" w:cs="宋体" w:hint="eastAsia"/>
          <w:bCs/>
          <w:kern w:val="0"/>
          <w:sz w:val="32"/>
          <w:szCs w:val="32"/>
        </w:rPr>
        <w:t>十一、预算绩效的情况说明</w:t>
      </w:r>
      <w:bookmarkEnd w:id="33"/>
      <w:bookmarkEnd w:id="34"/>
    </w:p>
    <w:p w:rsidR="003847C2" w:rsidRDefault="0059262E">
      <w:pPr>
        <w:ind w:firstLineChars="200" w:firstLine="640"/>
        <w:outlineLvl w:val="0"/>
        <w:rPr>
          <w:rFonts w:ascii="仿宋_GB2312" w:eastAsia="仿宋_GB2312"/>
          <w:sz w:val="32"/>
          <w:szCs w:val="32"/>
        </w:rPr>
      </w:pPr>
      <w:r>
        <w:rPr>
          <w:rFonts w:ascii="仿宋_GB2312" w:eastAsia="仿宋_GB2312" w:hint="eastAsia"/>
          <w:sz w:val="32"/>
          <w:szCs w:val="32"/>
        </w:rPr>
        <w:t>根据预算绩效管理要求，我单位2022年度开展预算绩效评价项目1个，全年预算数2.88万元，全年执行数2.86万元。预算绩效管理取得的成效：项目所设定的绩效目标依据充分，符合客观实际，将项目绩效目标细化分解为具体的绩效指标，通过清晰、可衡量的指标值予以体现，与项目目标任务数或计划数相对应；项目预算编制经过科学论证、有明确标准，资金额度与年度目标相适应，用以反映和考核项目预算编制的科学性、合理性情况。项目预算资金分配有测算依据，与补助人员实际相适应。</w:t>
      </w:r>
    </w:p>
    <w:p w:rsidR="003847C2" w:rsidRDefault="0059262E">
      <w:pPr>
        <w:ind w:firstLineChars="200" w:firstLine="640"/>
        <w:outlineLvl w:val="0"/>
        <w:rPr>
          <w:rFonts w:ascii="仿宋_GB2312" w:eastAsia="仿宋_GB2312"/>
          <w:sz w:val="32"/>
          <w:szCs w:val="32"/>
        </w:rPr>
      </w:pPr>
      <w:r>
        <w:rPr>
          <w:rFonts w:ascii="仿宋_GB2312" w:eastAsia="仿宋_GB2312" w:hint="eastAsia"/>
          <w:sz w:val="32"/>
          <w:szCs w:val="32"/>
        </w:rPr>
        <w:t>发现的问题及原因：1.绩效目标三级指标中的数量指标设置较少；2.项目档案资料归集及保管有待进一步完善。</w:t>
      </w:r>
    </w:p>
    <w:p w:rsidR="003847C2" w:rsidRDefault="0059262E">
      <w:pPr>
        <w:ind w:firstLineChars="200" w:firstLine="640"/>
        <w:outlineLvl w:val="0"/>
        <w:rPr>
          <w:rFonts w:ascii="仿宋_GB2312" w:eastAsia="仿宋_GB2312"/>
          <w:sz w:val="32"/>
          <w:szCs w:val="32"/>
        </w:rPr>
      </w:pPr>
      <w:r>
        <w:rPr>
          <w:rFonts w:ascii="仿宋_GB2312" w:eastAsia="仿宋_GB2312" w:hint="eastAsia"/>
          <w:sz w:val="32"/>
          <w:szCs w:val="32"/>
        </w:rPr>
        <w:t>下一步改进措施:1.应加强对项目实施单位的指导和培训工作。2.项目单位进一步完善设置相关工作绩效指标，确</w:t>
      </w:r>
      <w:r>
        <w:rPr>
          <w:rFonts w:ascii="仿宋_GB2312" w:eastAsia="仿宋_GB2312" w:hint="eastAsia"/>
          <w:sz w:val="32"/>
          <w:szCs w:val="32"/>
        </w:rPr>
        <w:lastRenderedPageBreak/>
        <w:t>保项目达到预期的效果。3.完善细化项目实施方案，加强项目过程控制。具体项目自评情况附项目支出绩效自评表。</w:t>
      </w:r>
    </w:p>
    <w:p w:rsidR="003847C2" w:rsidRDefault="003847C2">
      <w:pPr>
        <w:pStyle w:val="2"/>
        <w:rPr>
          <w:rFonts w:ascii="仿宋_GB2312" w:eastAsia="仿宋_GB2312"/>
          <w:sz w:val="32"/>
          <w:szCs w:val="32"/>
        </w:rPr>
      </w:pPr>
    </w:p>
    <w:p w:rsidR="003847C2" w:rsidRDefault="003847C2">
      <w:pPr>
        <w:pStyle w:val="2"/>
        <w:rPr>
          <w:rFonts w:ascii="仿宋_GB2312" w:eastAsia="仿宋_GB2312"/>
          <w:sz w:val="32"/>
          <w:szCs w:val="32"/>
        </w:rPr>
      </w:pPr>
    </w:p>
    <w:p w:rsidR="003847C2" w:rsidRDefault="003847C2">
      <w:pPr>
        <w:pStyle w:val="2"/>
        <w:rPr>
          <w:rFonts w:ascii="仿宋_GB2312" w:eastAsia="仿宋_GB2312"/>
          <w:sz w:val="32"/>
          <w:szCs w:val="32"/>
        </w:rPr>
      </w:pPr>
    </w:p>
    <w:tbl>
      <w:tblPr>
        <w:tblW w:w="8673" w:type="dxa"/>
        <w:tblLayout w:type="fixed"/>
        <w:tblCellMar>
          <w:left w:w="0" w:type="dxa"/>
          <w:right w:w="0" w:type="dxa"/>
        </w:tblCellMar>
        <w:tblLook w:val="04A0" w:firstRow="1" w:lastRow="0" w:firstColumn="1" w:lastColumn="0" w:noHBand="0" w:noVBand="1"/>
      </w:tblPr>
      <w:tblGrid>
        <w:gridCol w:w="593"/>
        <w:gridCol w:w="593"/>
        <w:gridCol w:w="630"/>
        <w:gridCol w:w="253"/>
        <w:gridCol w:w="90"/>
        <w:gridCol w:w="1242"/>
        <w:gridCol w:w="44"/>
        <w:gridCol w:w="299"/>
        <w:gridCol w:w="44"/>
        <w:gridCol w:w="723"/>
        <w:gridCol w:w="343"/>
        <w:gridCol w:w="481"/>
        <w:gridCol w:w="72"/>
        <w:gridCol w:w="271"/>
        <w:gridCol w:w="72"/>
        <w:gridCol w:w="294"/>
        <w:gridCol w:w="287"/>
        <w:gridCol w:w="56"/>
        <w:gridCol w:w="287"/>
        <w:gridCol w:w="320"/>
        <w:gridCol w:w="343"/>
        <w:gridCol w:w="168"/>
        <w:gridCol w:w="343"/>
        <w:gridCol w:w="482"/>
        <w:gridCol w:w="343"/>
      </w:tblGrid>
      <w:tr w:rsidR="003847C2">
        <w:trPr>
          <w:gridAfter w:val="1"/>
          <w:wAfter w:w="343" w:type="dxa"/>
          <w:trHeight w:val="408"/>
        </w:trPr>
        <w:tc>
          <w:tcPr>
            <w:tcW w:w="8330" w:type="dxa"/>
            <w:gridSpan w:val="24"/>
            <w:tcBorders>
              <w:top w:val="nil"/>
              <w:left w:val="nil"/>
              <w:bottom w:val="nil"/>
              <w:right w:val="nil"/>
            </w:tcBorders>
            <w:tcMar>
              <w:top w:w="12" w:type="dxa"/>
              <w:left w:w="12" w:type="dxa"/>
              <w:right w:w="12" w:type="dxa"/>
            </w:tcMar>
            <w:vAlign w:val="center"/>
          </w:tcPr>
          <w:p w:rsidR="003847C2" w:rsidRDefault="0059262E">
            <w:pPr>
              <w:ind w:firstLineChars="200" w:firstLine="560"/>
              <w:jc w:val="center"/>
              <w:outlineLvl w:val="0"/>
              <w:rPr>
                <w:rFonts w:ascii="仿宋_GB2312" w:eastAsia="仿宋_GB2312"/>
                <w:sz w:val="28"/>
                <w:szCs w:val="28"/>
              </w:rPr>
            </w:pPr>
            <w:r>
              <w:rPr>
                <w:rFonts w:ascii="仿宋_GB2312" w:eastAsia="仿宋_GB2312" w:hint="eastAsia"/>
                <w:sz w:val="28"/>
                <w:szCs w:val="28"/>
              </w:rPr>
              <w:t>项目支出绩效自评表</w:t>
            </w:r>
          </w:p>
        </w:tc>
      </w:tr>
      <w:tr w:rsidR="003847C2">
        <w:trPr>
          <w:gridAfter w:val="1"/>
          <w:wAfter w:w="343" w:type="dxa"/>
          <w:trHeight w:val="288"/>
        </w:trPr>
        <w:tc>
          <w:tcPr>
            <w:tcW w:w="8330" w:type="dxa"/>
            <w:gridSpan w:val="24"/>
            <w:tcBorders>
              <w:top w:val="nil"/>
              <w:left w:val="nil"/>
              <w:bottom w:val="nil"/>
              <w:right w:val="nil"/>
            </w:tcBorders>
            <w:tcMar>
              <w:top w:w="12" w:type="dxa"/>
              <w:left w:w="12" w:type="dxa"/>
              <w:right w:w="12" w:type="dxa"/>
            </w:tcMar>
            <w:vAlign w:val="center"/>
          </w:tcPr>
          <w:p w:rsidR="003847C2" w:rsidRDefault="0059262E">
            <w:pPr>
              <w:ind w:firstLineChars="200" w:firstLine="560"/>
              <w:jc w:val="center"/>
              <w:outlineLvl w:val="0"/>
              <w:rPr>
                <w:rFonts w:ascii="仿宋_GB2312" w:eastAsia="仿宋_GB2312"/>
                <w:sz w:val="28"/>
                <w:szCs w:val="28"/>
              </w:rPr>
            </w:pPr>
            <w:r>
              <w:rPr>
                <w:rFonts w:ascii="仿宋_GB2312" w:eastAsia="仿宋_GB2312" w:hint="eastAsia"/>
                <w:sz w:val="28"/>
                <w:szCs w:val="28"/>
              </w:rPr>
              <w:t>(2022年度)</w:t>
            </w:r>
          </w:p>
        </w:tc>
      </w:tr>
      <w:tr w:rsidR="003847C2">
        <w:trPr>
          <w:gridAfter w:val="1"/>
          <w:wAfter w:w="343" w:type="dxa"/>
          <w:trHeight w:val="396"/>
        </w:trPr>
        <w:tc>
          <w:tcPr>
            <w:tcW w:w="118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项目名称</w:t>
            </w:r>
          </w:p>
        </w:tc>
        <w:tc>
          <w:tcPr>
            <w:tcW w:w="7144" w:type="dxa"/>
            <w:gridSpan w:val="2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工作队人员补助</w:t>
            </w:r>
          </w:p>
        </w:tc>
      </w:tr>
      <w:tr w:rsidR="003847C2">
        <w:trPr>
          <w:gridAfter w:val="1"/>
          <w:wAfter w:w="343" w:type="dxa"/>
          <w:trHeight w:val="396"/>
        </w:trPr>
        <w:tc>
          <w:tcPr>
            <w:tcW w:w="118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主管部门</w:t>
            </w:r>
          </w:p>
        </w:tc>
        <w:tc>
          <w:tcPr>
            <w:tcW w:w="332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中国人民政治协商会议乌鲁木齐市新市区委员会</w:t>
            </w:r>
          </w:p>
        </w:tc>
        <w:tc>
          <w:tcPr>
            <w:tcW w:w="89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实施单位</w:t>
            </w:r>
          </w:p>
        </w:tc>
        <w:tc>
          <w:tcPr>
            <w:tcW w:w="2923" w:type="dxa"/>
            <w:gridSpan w:val="1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中国人民政治协商会议乌鲁木齐市新市区委员会</w:t>
            </w:r>
          </w:p>
        </w:tc>
      </w:tr>
      <w:tr w:rsidR="003847C2">
        <w:trPr>
          <w:gridAfter w:val="1"/>
          <w:wAfter w:w="343" w:type="dxa"/>
          <w:trHeight w:val="396"/>
        </w:trPr>
        <w:tc>
          <w:tcPr>
            <w:tcW w:w="1186"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项目资金</w:t>
            </w:r>
            <w:r>
              <w:rPr>
                <w:rFonts w:ascii="仿宋_GB2312" w:eastAsia="仿宋_GB2312" w:hint="eastAsia"/>
                <w:sz w:val="15"/>
                <w:szCs w:val="15"/>
              </w:rPr>
              <w:br/>
              <w:t>（万元）</w:t>
            </w:r>
          </w:p>
        </w:tc>
        <w:tc>
          <w:tcPr>
            <w:tcW w:w="6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158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年初预算数</w:t>
            </w:r>
          </w:p>
        </w:tc>
        <w:tc>
          <w:tcPr>
            <w:tcW w:w="111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全年预算数</w:t>
            </w:r>
          </w:p>
        </w:tc>
        <w:tc>
          <w:tcPr>
            <w:tcW w:w="89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全年执行数</w:t>
            </w:r>
          </w:p>
        </w:tc>
        <w:tc>
          <w:tcPr>
            <w:tcW w:w="924"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分值</w:t>
            </w:r>
          </w:p>
        </w:tc>
        <w:tc>
          <w:tcPr>
            <w:tcW w:w="1174"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执行率</w:t>
            </w:r>
          </w:p>
        </w:tc>
        <w:tc>
          <w:tcPr>
            <w:tcW w:w="8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得分</w:t>
            </w:r>
          </w:p>
        </w:tc>
      </w:tr>
      <w:tr w:rsidR="003847C2">
        <w:trPr>
          <w:gridAfter w:val="1"/>
          <w:wAfter w:w="343" w:type="dxa"/>
          <w:trHeight w:val="396"/>
        </w:trPr>
        <w:tc>
          <w:tcPr>
            <w:tcW w:w="118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6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年度资金总额</w:t>
            </w:r>
          </w:p>
        </w:tc>
        <w:tc>
          <w:tcPr>
            <w:tcW w:w="158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2.88</w:t>
            </w:r>
          </w:p>
        </w:tc>
        <w:tc>
          <w:tcPr>
            <w:tcW w:w="111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2.88</w:t>
            </w:r>
          </w:p>
        </w:tc>
        <w:tc>
          <w:tcPr>
            <w:tcW w:w="89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2.86</w:t>
            </w:r>
          </w:p>
        </w:tc>
        <w:tc>
          <w:tcPr>
            <w:tcW w:w="924"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1174"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99.31%</w:t>
            </w:r>
          </w:p>
        </w:tc>
        <w:tc>
          <w:tcPr>
            <w:tcW w:w="8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9.93分</w:t>
            </w:r>
          </w:p>
        </w:tc>
      </w:tr>
      <w:tr w:rsidR="003847C2">
        <w:trPr>
          <w:gridAfter w:val="1"/>
          <w:wAfter w:w="343" w:type="dxa"/>
          <w:trHeight w:val="396"/>
        </w:trPr>
        <w:tc>
          <w:tcPr>
            <w:tcW w:w="118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6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其中：当年财政拨款</w:t>
            </w:r>
          </w:p>
        </w:tc>
        <w:tc>
          <w:tcPr>
            <w:tcW w:w="158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2.88</w:t>
            </w:r>
          </w:p>
        </w:tc>
        <w:tc>
          <w:tcPr>
            <w:tcW w:w="111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2.88</w:t>
            </w:r>
          </w:p>
        </w:tc>
        <w:tc>
          <w:tcPr>
            <w:tcW w:w="89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2.86</w:t>
            </w:r>
          </w:p>
        </w:tc>
        <w:tc>
          <w:tcPr>
            <w:tcW w:w="924"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c>
          <w:tcPr>
            <w:tcW w:w="1174"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c>
          <w:tcPr>
            <w:tcW w:w="8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r>
      <w:tr w:rsidR="003847C2">
        <w:trPr>
          <w:gridAfter w:val="1"/>
          <w:wAfter w:w="343" w:type="dxa"/>
          <w:trHeight w:val="304"/>
        </w:trPr>
        <w:tc>
          <w:tcPr>
            <w:tcW w:w="118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6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上年结转资金</w:t>
            </w:r>
          </w:p>
        </w:tc>
        <w:tc>
          <w:tcPr>
            <w:tcW w:w="158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0</w:t>
            </w:r>
          </w:p>
        </w:tc>
        <w:tc>
          <w:tcPr>
            <w:tcW w:w="111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0</w:t>
            </w:r>
          </w:p>
        </w:tc>
        <w:tc>
          <w:tcPr>
            <w:tcW w:w="89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0</w:t>
            </w:r>
          </w:p>
        </w:tc>
        <w:tc>
          <w:tcPr>
            <w:tcW w:w="924"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c>
          <w:tcPr>
            <w:tcW w:w="1174"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c>
          <w:tcPr>
            <w:tcW w:w="8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r>
      <w:tr w:rsidR="003847C2">
        <w:trPr>
          <w:gridAfter w:val="1"/>
          <w:wAfter w:w="343" w:type="dxa"/>
          <w:trHeight w:val="396"/>
        </w:trPr>
        <w:tc>
          <w:tcPr>
            <w:tcW w:w="1186"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6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 xml:space="preserve"> 其他资金</w:t>
            </w:r>
          </w:p>
        </w:tc>
        <w:tc>
          <w:tcPr>
            <w:tcW w:w="158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0</w:t>
            </w:r>
          </w:p>
        </w:tc>
        <w:tc>
          <w:tcPr>
            <w:tcW w:w="111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0</w:t>
            </w:r>
          </w:p>
        </w:tc>
        <w:tc>
          <w:tcPr>
            <w:tcW w:w="89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0</w:t>
            </w:r>
          </w:p>
        </w:tc>
        <w:tc>
          <w:tcPr>
            <w:tcW w:w="924"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c>
          <w:tcPr>
            <w:tcW w:w="1174"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c>
          <w:tcPr>
            <w:tcW w:w="8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w:t>
            </w:r>
          </w:p>
        </w:tc>
      </w:tr>
      <w:tr w:rsidR="003847C2">
        <w:trPr>
          <w:gridAfter w:val="1"/>
          <w:wAfter w:w="343" w:type="dxa"/>
          <w:trHeight w:val="396"/>
        </w:trPr>
        <w:tc>
          <w:tcPr>
            <w:tcW w:w="59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年度总体目标</w:t>
            </w:r>
          </w:p>
        </w:tc>
        <w:tc>
          <w:tcPr>
            <w:tcW w:w="3918" w:type="dxa"/>
            <w:gridSpan w:val="9"/>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预期目标</w:t>
            </w:r>
          </w:p>
        </w:tc>
        <w:tc>
          <w:tcPr>
            <w:tcW w:w="3819" w:type="dxa"/>
            <w:gridSpan w:val="1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实际完成情况</w:t>
            </w: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3918" w:type="dxa"/>
            <w:gridSpan w:val="9"/>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为确保“工作队”驻社区（村）工作的正常开展，我单位对下派的3名干部发放个人补助，全年发放12次，“工作队”个人补助标准为每人每月1200元。通过工作队驻社区（村）工作，确保首府社会大局，提高经济发展的质量和效益，各族群众的获得感幸福感安全感不断增强。同时也对工作队队员提供生活保障，减轻他们的生活压力。结合工作队人员补助项目工作的要求，分解细化各项工作任务，结合实际，逐项设置了项目绩效目标，提高“工作队”工作效率。</w:t>
            </w:r>
          </w:p>
        </w:tc>
        <w:tc>
          <w:tcPr>
            <w:tcW w:w="3819" w:type="dxa"/>
            <w:gridSpan w:val="1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为确保“工作队”驻社区（村）工作的正常开展，我单位对下派的2名干部发放个人补助，全年发放12次，“工作队”个人补助标准为每人每月1200元，合计发放2.86万元。通过工作队驻社区（村）工作，确保首府社会大局，提高经济发展的质量和效益，各族群众的获得感幸福感安全感不断增强。同时也对工作队队员提供生活保障，减轻他们的生活压力。</w:t>
            </w:r>
          </w:p>
        </w:tc>
      </w:tr>
      <w:tr w:rsidR="003847C2">
        <w:trPr>
          <w:trHeight w:val="396"/>
        </w:trPr>
        <w:tc>
          <w:tcPr>
            <w:tcW w:w="5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tcBorders>
              <w:top w:val="single" w:sz="4" w:space="0" w:color="000000"/>
              <w:left w:val="single" w:sz="4" w:space="0" w:color="000000"/>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90" w:type="dxa"/>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1585" w:type="dxa"/>
            <w:gridSpan w:val="3"/>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44" w:type="dxa"/>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1066" w:type="dxa"/>
            <w:gridSpan w:val="2"/>
            <w:tcBorders>
              <w:top w:val="single" w:sz="4" w:space="0" w:color="000000"/>
              <w:left w:val="nil"/>
              <w:bottom w:val="single" w:sz="4" w:space="0" w:color="000000"/>
              <w:right w:val="single" w:sz="4" w:space="0" w:color="000000"/>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824" w:type="dxa"/>
            <w:gridSpan w:val="3"/>
            <w:tcBorders>
              <w:top w:val="single" w:sz="4" w:space="0" w:color="000000"/>
              <w:left w:val="single" w:sz="4" w:space="0" w:color="000000"/>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72" w:type="dxa"/>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637" w:type="dxa"/>
            <w:gridSpan w:val="3"/>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287" w:type="dxa"/>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663" w:type="dxa"/>
            <w:gridSpan w:val="2"/>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511" w:type="dxa"/>
            <w:gridSpan w:val="2"/>
            <w:tcBorders>
              <w:top w:val="single" w:sz="4" w:space="0" w:color="000000"/>
              <w:left w:val="nil"/>
              <w:bottom w:val="single" w:sz="4" w:space="0" w:color="000000"/>
              <w:right w:val="nil"/>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c>
          <w:tcPr>
            <w:tcW w:w="825" w:type="dxa"/>
            <w:gridSpan w:val="2"/>
            <w:tcBorders>
              <w:top w:val="single" w:sz="4" w:space="0" w:color="000000"/>
              <w:left w:val="nil"/>
              <w:bottom w:val="single" w:sz="4" w:space="0" w:color="000000"/>
              <w:right w:val="single" w:sz="4" w:space="0" w:color="000000"/>
            </w:tcBorders>
            <w:tcMar>
              <w:top w:w="12" w:type="dxa"/>
              <w:left w:w="12" w:type="dxa"/>
              <w:right w:w="12" w:type="dxa"/>
            </w:tcMa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一级指</w:t>
            </w:r>
            <w:r>
              <w:rPr>
                <w:rFonts w:ascii="仿宋_GB2312" w:eastAsia="仿宋_GB2312" w:hint="eastAsia"/>
                <w:sz w:val="15"/>
                <w:szCs w:val="15"/>
              </w:rPr>
              <w:lastRenderedPageBreak/>
              <w:t>标</w:t>
            </w:r>
          </w:p>
        </w:tc>
        <w:tc>
          <w:tcPr>
            <w:tcW w:w="8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lastRenderedPageBreak/>
              <w:t>二级指标</w:t>
            </w:r>
          </w:p>
        </w:tc>
        <w:tc>
          <w:tcPr>
            <w:tcW w:w="1376"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三级指标</w:t>
            </w:r>
          </w:p>
        </w:tc>
        <w:tc>
          <w:tcPr>
            <w:tcW w:w="1066"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年度指标</w:t>
            </w:r>
            <w:r>
              <w:rPr>
                <w:rFonts w:ascii="仿宋_GB2312" w:eastAsia="仿宋_GB2312" w:hint="eastAsia"/>
                <w:sz w:val="15"/>
                <w:szCs w:val="15"/>
              </w:rPr>
              <w:lastRenderedPageBreak/>
              <w:t>值</w:t>
            </w:r>
          </w:p>
        </w:tc>
        <w:tc>
          <w:tcPr>
            <w:tcW w:w="824"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lastRenderedPageBreak/>
              <w:t>实际完</w:t>
            </w:r>
            <w:r>
              <w:rPr>
                <w:rFonts w:ascii="仿宋_GB2312" w:eastAsia="仿宋_GB2312" w:hint="eastAsia"/>
                <w:sz w:val="15"/>
                <w:szCs w:val="15"/>
              </w:rPr>
              <w:lastRenderedPageBreak/>
              <w:t>成值</w:t>
            </w:r>
          </w:p>
        </w:tc>
        <w:tc>
          <w:tcPr>
            <w:tcW w:w="709" w:type="dxa"/>
            <w:gridSpan w:val="4"/>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lastRenderedPageBreak/>
              <w:t>分值</w:t>
            </w:r>
          </w:p>
        </w:tc>
        <w:tc>
          <w:tcPr>
            <w:tcW w:w="950" w:type="dxa"/>
            <w:gridSpan w:val="4"/>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得分</w:t>
            </w:r>
          </w:p>
        </w:tc>
        <w:tc>
          <w:tcPr>
            <w:tcW w:w="1336" w:type="dxa"/>
            <w:gridSpan w:val="4"/>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偏差原因分析</w:t>
            </w:r>
            <w:r>
              <w:rPr>
                <w:rFonts w:ascii="仿宋_GB2312" w:eastAsia="仿宋_GB2312" w:hint="eastAsia"/>
                <w:sz w:val="15"/>
                <w:szCs w:val="15"/>
              </w:rPr>
              <w:lastRenderedPageBreak/>
              <w:t>及改进措施</w:t>
            </w: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1376"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1066"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24"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709" w:type="dxa"/>
            <w:gridSpan w:val="4"/>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950" w:type="dxa"/>
            <w:gridSpan w:val="4"/>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1336" w:type="dxa"/>
            <w:gridSpan w:val="4"/>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年度绩效指标完成情况</w:t>
            </w:r>
          </w:p>
        </w:tc>
        <w:tc>
          <w:tcPr>
            <w:tcW w:w="59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产出指标</w:t>
            </w: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数量指标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发放补助人数</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=2人</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2人</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数量指标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发放补助次数</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=12次</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12次</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质量指标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人员考核合格率</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=100%</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100%</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时效指标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资金发放及时率</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=100%</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100%</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时效指标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项目完成时间</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2022年12月31日</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2022年12月31日</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5</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5</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成本指标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人均补助标准</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&lt;=1200元/月</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1200元/月</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5</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5</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社会效益指标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充分发挥工作队职能</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有效提高</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100%</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15</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15</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生态效益指标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可持续影响指标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经费保障期限</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&gt;=1年</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1年</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15</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15</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9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c>
          <w:tcPr>
            <w:tcW w:w="5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满意度指标</w:t>
            </w:r>
          </w:p>
        </w:tc>
        <w:tc>
          <w:tcPr>
            <w:tcW w:w="8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outlineLvl w:val="0"/>
              <w:rPr>
                <w:rFonts w:ascii="仿宋_GB2312" w:eastAsia="仿宋_GB2312"/>
                <w:sz w:val="15"/>
                <w:szCs w:val="15"/>
              </w:rPr>
            </w:pPr>
            <w:r>
              <w:rPr>
                <w:rFonts w:ascii="仿宋_GB2312" w:eastAsia="仿宋_GB2312" w:hint="eastAsia"/>
                <w:sz w:val="15"/>
                <w:szCs w:val="15"/>
              </w:rPr>
              <w:t>满意度指标</w:t>
            </w:r>
          </w:p>
        </w:tc>
        <w:tc>
          <w:tcPr>
            <w:tcW w:w="137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受益人员满意度</w:t>
            </w:r>
          </w:p>
        </w:tc>
        <w:tc>
          <w:tcPr>
            <w:tcW w:w="106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&gt;=95%</w:t>
            </w:r>
          </w:p>
        </w:tc>
        <w:tc>
          <w:tcPr>
            <w:tcW w:w="82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95%</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r w:rsidR="003847C2">
        <w:trPr>
          <w:gridAfter w:val="1"/>
          <w:wAfter w:w="343" w:type="dxa"/>
          <w:trHeight w:val="396"/>
        </w:trPr>
        <w:tc>
          <w:tcPr>
            <w:tcW w:w="5335" w:type="dxa"/>
            <w:gridSpan w:val="1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总分</w:t>
            </w:r>
          </w:p>
        </w:tc>
        <w:tc>
          <w:tcPr>
            <w:tcW w:w="70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100</w:t>
            </w:r>
          </w:p>
        </w:tc>
        <w:tc>
          <w:tcPr>
            <w:tcW w:w="95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59262E">
            <w:pPr>
              <w:ind w:firstLineChars="200" w:firstLine="300"/>
              <w:outlineLvl w:val="0"/>
              <w:rPr>
                <w:rFonts w:ascii="仿宋_GB2312" w:eastAsia="仿宋_GB2312"/>
                <w:sz w:val="15"/>
                <w:szCs w:val="15"/>
              </w:rPr>
            </w:pPr>
            <w:r>
              <w:rPr>
                <w:rFonts w:ascii="仿宋_GB2312" w:eastAsia="仿宋_GB2312" w:hint="eastAsia"/>
                <w:sz w:val="15"/>
                <w:szCs w:val="15"/>
              </w:rPr>
              <w:t>99.93分</w:t>
            </w:r>
          </w:p>
        </w:tc>
        <w:tc>
          <w:tcPr>
            <w:tcW w:w="1336"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847C2" w:rsidRDefault="003847C2">
            <w:pPr>
              <w:ind w:firstLineChars="200" w:firstLine="300"/>
              <w:outlineLvl w:val="0"/>
              <w:rPr>
                <w:rFonts w:ascii="仿宋_GB2312" w:eastAsia="仿宋_GB2312"/>
                <w:sz w:val="15"/>
                <w:szCs w:val="15"/>
              </w:rPr>
            </w:pPr>
          </w:p>
        </w:tc>
      </w:tr>
    </w:tbl>
    <w:p w:rsidR="003847C2" w:rsidRDefault="003847C2">
      <w:pPr>
        <w:ind w:firstLineChars="200" w:firstLine="640"/>
        <w:jc w:val="center"/>
        <w:outlineLvl w:val="0"/>
        <w:rPr>
          <w:rFonts w:ascii="仿宋_GB2312" w:eastAsia="仿宋_GB2312"/>
          <w:sz w:val="32"/>
          <w:szCs w:val="32"/>
        </w:rPr>
      </w:pPr>
    </w:p>
    <w:p w:rsidR="003847C2" w:rsidRDefault="0059262E">
      <w:pPr>
        <w:ind w:firstLineChars="200" w:firstLine="640"/>
        <w:jc w:val="center"/>
        <w:outlineLvl w:val="0"/>
        <w:rPr>
          <w:rFonts w:ascii="黑体" w:eastAsia="黑体" w:hAnsi="黑体"/>
          <w:sz w:val="32"/>
          <w:szCs w:val="32"/>
        </w:rPr>
      </w:pPr>
      <w:bookmarkStart w:id="35" w:name="_Toc24143"/>
      <w:bookmarkStart w:id="36" w:name="_Toc3250"/>
      <w:r>
        <w:rPr>
          <w:rFonts w:ascii="黑体" w:eastAsia="黑体" w:hAnsi="黑体" w:hint="eastAsia"/>
          <w:sz w:val="32"/>
          <w:szCs w:val="32"/>
        </w:rPr>
        <w:br w:type="page"/>
      </w:r>
      <w:r>
        <w:rPr>
          <w:rFonts w:ascii="黑体" w:eastAsia="黑体" w:hAnsi="黑体" w:hint="eastAsia"/>
          <w:sz w:val="32"/>
          <w:szCs w:val="32"/>
        </w:rPr>
        <w:lastRenderedPageBreak/>
        <w:t>第三部分 专业名词解释</w:t>
      </w:r>
      <w:bookmarkEnd w:id="35"/>
      <w:bookmarkEnd w:id="36"/>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财政拨款收入：指同级财政当年拨付的资金。</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事业收入：指事业单位开展专业业务活动及其辅助活动所取得的收入。</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基本支出：指为保障机构正常运转、完成日常工作任务而发生的人员支出和公用支出。</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lastRenderedPageBreak/>
        <w:t>项目支出：指在基本支出之外为完成特定行政任务和事业发展目标所发生的支出。</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3847C2" w:rsidRDefault="0059262E">
      <w:pPr>
        <w:autoSpaceDE w:val="0"/>
        <w:autoSpaceDN w:val="0"/>
        <w:ind w:firstLineChars="200" w:firstLine="640"/>
        <w:rPr>
          <w:rFonts w:ascii="仿宋_GB2312" w:eastAsia="仿宋_GB2312"/>
          <w:sz w:val="32"/>
          <w:szCs w:val="32"/>
        </w:rPr>
      </w:pPr>
      <w:r>
        <w:rPr>
          <w:rFonts w:ascii="仿宋_GB2312" w:eastAsia="仿宋_GB2312" w:hint="eastAsia"/>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rsidR="003847C2" w:rsidRDefault="0059262E">
      <w:pPr>
        <w:ind w:firstLineChars="200" w:firstLine="640"/>
        <w:rPr>
          <w:rFonts w:ascii="仿宋_GB2312" w:eastAsia="仿宋_GB2312"/>
          <w:sz w:val="32"/>
          <w:szCs w:val="32"/>
        </w:rPr>
      </w:pPr>
      <w:r>
        <w:rPr>
          <w:rFonts w:ascii="仿宋_GB2312" w:eastAsia="仿宋_GB2312" w:hint="eastAsia"/>
          <w:sz w:val="32"/>
          <w:szCs w:val="32"/>
        </w:rPr>
        <w:t>机关运行经费：行政单位和参照公务员法管理的事业单位财政拨款基本支出中的公用经费支出。</w:t>
      </w:r>
    </w:p>
    <w:p w:rsidR="003847C2" w:rsidRDefault="0059262E">
      <w:pPr>
        <w:ind w:firstLineChars="200" w:firstLine="640"/>
        <w:jc w:val="center"/>
        <w:outlineLvl w:val="0"/>
        <w:rPr>
          <w:rFonts w:ascii="黑体" w:eastAsia="黑体" w:hAnsi="黑体"/>
          <w:sz w:val="32"/>
          <w:szCs w:val="32"/>
        </w:rPr>
      </w:pPr>
      <w:bookmarkStart w:id="37" w:name="_Toc28903"/>
      <w:bookmarkStart w:id="38" w:name="_Toc22784"/>
      <w:r>
        <w:rPr>
          <w:rFonts w:ascii="黑体" w:eastAsia="黑体" w:hAnsi="黑体" w:hint="eastAsia"/>
          <w:sz w:val="32"/>
          <w:szCs w:val="32"/>
        </w:rPr>
        <w:br w:type="page"/>
      </w:r>
      <w:r>
        <w:rPr>
          <w:rFonts w:ascii="黑体" w:eastAsia="黑体" w:hAnsi="黑体" w:hint="eastAsia"/>
          <w:sz w:val="32"/>
          <w:szCs w:val="32"/>
        </w:rPr>
        <w:lastRenderedPageBreak/>
        <w:t>第四部分 部门决算报表（见附表）</w:t>
      </w:r>
      <w:bookmarkEnd w:id="37"/>
      <w:bookmarkEnd w:id="38"/>
    </w:p>
    <w:p w:rsidR="003847C2" w:rsidRDefault="0059262E">
      <w:pPr>
        <w:ind w:firstLineChars="200" w:firstLine="640"/>
        <w:outlineLvl w:val="1"/>
        <w:rPr>
          <w:rFonts w:ascii="黑体" w:eastAsia="黑体" w:hAnsi="黑体" w:cs="宋体"/>
          <w:bCs/>
          <w:kern w:val="0"/>
          <w:sz w:val="32"/>
          <w:szCs w:val="32"/>
        </w:rPr>
      </w:pPr>
      <w:bookmarkStart w:id="39" w:name="_Toc6062"/>
      <w:bookmarkStart w:id="40" w:name="_Toc2183"/>
      <w:r>
        <w:rPr>
          <w:rFonts w:ascii="黑体" w:eastAsia="黑体" w:hAnsi="黑体" w:cs="宋体" w:hint="eastAsia"/>
          <w:bCs/>
          <w:kern w:val="0"/>
          <w:sz w:val="32"/>
          <w:szCs w:val="32"/>
        </w:rPr>
        <w:t>一、《收入支出决算总表》</w:t>
      </w:r>
      <w:bookmarkEnd w:id="39"/>
      <w:bookmarkEnd w:id="40"/>
    </w:p>
    <w:p w:rsidR="003847C2" w:rsidRDefault="0059262E">
      <w:pPr>
        <w:ind w:firstLineChars="200" w:firstLine="640"/>
        <w:outlineLvl w:val="1"/>
        <w:rPr>
          <w:rFonts w:ascii="黑体" w:eastAsia="黑体" w:hAnsi="黑体" w:cs="宋体"/>
          <w:bCs/>
          <w:kern w:val="0"/>
          <w:sz w:val="32"/>
          <w:szCs w:val="32"/>
        </w:rPr>
      </w:pPr>
      <w:bookmarkStart w:id="41" w:name="_Toc24532"/>
      <w:bookmarkStart w:id="42" w:name="_Toc30364"/>
      <w:r>
        <w:rPr>
          <w:rFonts w:ascii="黑体" w:eastAsia="黑体" w:hAnsi="黑体" w:cs="宋体" w:hint="eastAsia"/>
          <w:bCs/>
          <w:kern w:val="0"/>
          <w:sz w:val="32"/>
          <w:szCs w:val="32"/>
        </w:rPr>
        <w:t>二、《收入决算表》</w:t>
      </w:r>
      <w:bookmarkEnd w:id="41"/>
      <w:bookmarkEnd w:id="42"/>
    </w:p>
    <w:p w:rsidR="003847C2" w:rsidRDefault="0059262E">
      <w:pPr>
        <w:ind w:firstLineChars="200" w:firstLine="640"/>
        <w:outlineLvl w:val="1"/>
        <w:rPr>
          <w:rFonts w:ascii="黑体" w:eastAsia="黑体" w:hAnsi="黑体" w:cs="宋体"/>
          <w:bCs/>
          <w:kern w:val="0"/>
          <w:sz w:val="32"/>
          <w:szCs w:val="32"/>
        </w:rPr>
      </w:pPr>
      <w:bookmarkStart w:id="43" w:name="_Toc32434"/>
      <w:bookmarkStart w:id="44" w:name="_Toc21304"/>
      <w:r>
        <w:rPr>
          <w:rFonts w:ascii="黑体" w:eastAsia="黑体" w:hAnsi="黑体" w:cs="宋体" w:hint="eastAsia"/>
          <w:bCs/>
          <w:kern w:val="0"/>
          <w:sz w:val="32"/>
          <w:szCs w:val="32"/>
        </w:rPr>
        <w:t>三、《支出决算表》</w:t>
      </w:r>
      <w:bookmarkEnd w:id="43"/>
      <w:bookmarkEnd w:id="44"/>
    </w:p>
    <w:p w:rsidR="003847C2" w:rsidRDefault="0059262E">
      <w:pPr>
        <w:ind w:firstLineChars="200" w:firstLine="640"/>
        <w:outlineLvl w:val="1"/>
        <w:rPr>
          <w:rFonts w:ascii="黑体" w:eastAsia="黑体" w:hAnsi="黑体" w:cs="宋体"/>
          <w:bCs/>
          <w:kern w:val="0"/>
          <w:sz w:val="32"/>
          <w:szCs w:val="32"/>
        </w:rPr>
      </w:pPr>
      <w:bookmarkStart w:id="45" w:name="_Toc28786"/>
      <w:bookmarkStart w:id="46" w:name="_Toc14238"/>
      <w:r>
        <w:rPr>
          <w:rFonts w:ascii="黑体" w:eastAsia="黑体" w:hAnsi="黑体" w:cs="宋体" w:hint="eastAsia"/>
          <w:bCs/>
          <w:kern w:val="0"/>
          <w:sz w:val="32"/>
          <w:szCs w:val="32"/>
        </w:rPr>
        <w:t>四、《财政拨款收入支出决算总表》</w:t>
      </w:r>
      <w:bookmarkEnd w:id="45"/>
      <w:bookmarkEnd w:id="46"/>
    </w:p>
    <w:p w:rsidR="003847C2" w:rsidRDefault="0059262E">
      <w:pPr>
        <w:ind w:firstLineChars="200" w:firstLine="640"/>
        <w:outlineLvl w:val="1"/>
        <w:rPr>
          <w:rFonts w:ascii="黑体" w:eastAsia="黑体" w:hAnsi="黑体" w:cs="宋体"/>
          <w:bCs/>
          <w:kern w:val="0"/>
          <w:sz w:val="32"/>
          <w:szCs w:val="32"/>
        </w:rPr>
      </w:pPr>
      <w:bookmarkStart w:id="47" w:name="_Toc14869"/>
      <w:bookmarkStart w:id="48" w:name="_Toc10347"/>
      <w:r>
        <w:rPr>
          <w:rFonts w:ascii="黑体" w:eastAsia="黑体" w:hAnsi="黑体" w:cs="宋体" w:hint="eastAsia"/>
          <w:bCs/>
          <w:kern w:val="0"/>
          <w:sz w:val="32"/>
          <w:szCs w:val="32"/>
        </w:rPr>
        <w:t>五、《一般公共预算财政拨款支出决算表》</w:t>
      </w:r>
      <w:bookmarkEnd w:id="47"/>
      <w:bookmarkEnd w:id="48"/>
    </w:p>
    <w:p w:rsidR="003847C2" w:rsidRDefault="0059262E">
      <w:pPr>
        <w:ind w:firstLineChars="200" w:firstLine="640"/>
        <w:outlineLvl w:val="1"/>
        <w:rPr>
          <w:rFonts w:ascii="黑体" w:eastAsia="黑体" w:hAnsi="黑体" w:cs="宋体"/>
          <w:bCs/>
          <w:kern w:val="0"/>
          <w:sz w:val="32"/>
          <w:szCs w:val="32"/>
        </w:rPr>
      </w:pPr>
      <w:bookmarkStart w:id="49" w:name="_Toc8884"/>
      <w:bookmarkStart w:id="50" w:name="_Toc5626"/>
      <w:r>
        <w:rPr>
          <w:rFonts w:ascii="黑体" w:eastAsia="黑体" w:hAnsi="黑体" w:cs="宋体" w:hint="eastAsia"/>
          <w:bCs/>
          <w:kern w:val="0"/>
          <w:sz w:val="32"/>
          <w:szCs w:val="32"/>
        </w:rPr>
        <w:t>六、《一般公共预算财政拨款基本支出决算表》</w:t>
      </w:r>
      <w:bookmarkEnd w:id="49"/>
      <w:bookmarkEnd w:id="50"/>
    </w:p>
    <w:p w:rsidR="003847C2" w:rsidRDefault="0059262E">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七、</w:t>
      </w:r>
      <w:bookmarkStart w:id="51" w:name="_Toc32663"/>
      <w:bookmarkStart w:id="52" w:name="_Toc29106"/>
      <w:r>
        <w:rPr>
          <w:rFonts w:ascii="黑体" w:eastAsia="黑体" w:hAnsi="黑体" w:cs="宋体" w:hint="eastAsia"/>
          <w:bCs/>
          <w:kern w:val="0"/>
          <w:sz w:val="32"/>
          <w:szCs w:val="32"/>
        </w:rPr>
        <w:t>《财政拨款“三公”经费支出决算表》</w:t>
      </w:r>
      <w:bookmarkEnd w:id="51"/>
      <w:bookmarkEnd w:id="52"/>
    </w:p>
    <w:p w:rsidR="003847C2" w:rsidRDefault="0059262E">
      <w:pPr>
        <w:ind w:firstLineChars="200" w:firstLine="640"/>
        <w:outlineLvl w:val="1"/>
        <w:rPr>
          <w:rFonts w:ascii="黑体" w:eastAsia="黑体" w:hAnsi="黑体" w:cs="宋体"/>
          <w:bCs/>
          <w:kern w:val="0"/>
          <w:sz w:val="32"/>
          <w:szCs w:val="32"/>
        </w:rPr>
      </w:pPr>
      <w:bookmarkStart w:id="53" w:name="_Toc5453"/>
      <w:bookmarkStart w:id="54" w:name="_Toc7643"/>
      <w:r>
        <w:rPr>
          <w:rFonts w:ascii="黑体" w:eastAsia="黑体" w:hAnsi="黑体" w:cs="宋体" w:hint="eastAsia"/>
          <w:bCs/>
          <w:kern w:val="0"/>
          <w:sz w:val="32"/>
          <w:szCs w:val="32"/>
        </w:rPr>
        <w:t>八、《政府性基金预算财政拨款收入支出决算表》</w:t>
      </w:r>
      <w:bookmarkEnd w:id="53"/>
      <w:bookmarkEnd w:id="54"/>
    </w:p>
    <w:p w:rsidR="003847C2" w:rsidRDefault="0059262E">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九、《国有资本经营预算财政拨款收入支出决算表》</w:t>
      </w:r>
    </w:p>
    <w:p w:rsidR="003847C2" w:rsidRDefault="003847C2">
      <w:pPr>
        <w:ind w:firstLineChars="200" w:firstLine="640"/>
        <w:outlineLvl w:val="1"/>
        <w:rPr>
          <w:rFonts w:ascii="黑体" w:eastAsia="黑体" w:hAnsi="黑体" w:cs="宋体"/>
          <w:bCs/>
          <w:kern w:val="0"/>
          <w:sz w:val="32"/>
          <w:szCs w:val="32"/>
        </w:rPr>
      </w:pPr>
    </w:p>
    <w:p w:rsidR="003847C2" w:rsidRDefault="003847C2"/>
    <w:sectPr w:rsidR="003847C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FA" w:rsidRDefault="000762FA">
      <w:r>
        <w:separator/>
      </w:r>
    </w:p>
  </w:endnote>
  <w:endnote w:type="continuationSeparator" w:id="0">
    <w:p w:rsidR="000762FA" w:rsidRDefault="0007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方正小标宋_GBK">
    <w:altName w:val="方正小标宋_GBK"/>
    <w:charset w:val="86"/>
    <w:family w:val="script"/>
    <w:pitch w:val="default"/>
    <w:sig w:usb0="00000000" w:usb1="00000000" w:usb2="00000000" w:usb3="00000000" w:csb0="00040000" w:csb1="00000000"/>
  </w:font>
  <w:font w:name="仿宋_GB2312">
    <w:altName w:val="仿宋"/>
    <w:charset w:val="00"/>
    <w:family w:val="auto"/>
    <w:pitch w:val="default"/>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C2" w:rsidRDefault="0059262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847C2" w:rsidRDefault="0059262E">
                          <w:pPr>
                            <w:pStyle w:val="a4"/>
                          </w:pPr>
                          <w:r>
                            <w:rPr>
                              <w:rFonts w:hint="eastAsia"/>
                            </w:rPr>
                            <w:fldChar w:fldCharType="begin"/>
                          </w:r>
                          <w:r>
                            <w:rPr>
                              <w:rFonts w:hint="eastAsia"/>
                            </w:rPr>
                            <w:instrText xml:space="preserve"> PAGE  \* MERGEFORMAT </w:instrText>
                          </w:r>
                          <w:r>
                            <w:rPr>
                              <w:rFonts w:hint="eastAsia"/>
                            </w:rPr>
                            <w:fldChar w:fldCharType="separate"/>
                          </w:r>
                          <w:r w:rsidR="00063183">
                            <w:rPr>
                              <w:noProof/>
                            </w:rPr>
                            <w:t>11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3847C2" w:rsidRDefault="0059262E">
                    <w:pPr>
                      <w:pStyle w:val="a4"/>
                    </w:pPr>
                    <w:r>
                      <w:rPr>
                        <w:rFonts w:hint="eastAsia"/>
                      </w:rPr>
                      <w:fldChar w:fldCharType="begin"/>
                    </w:r>
                    <w:r>
                      <w:rPr>
                        <w:rFonts w:hint="eastAsia"/>
                      </w:rPr>
                      <w:instrText xml:space="preserve"> PAGE  \* MERGEFORMAT </w:instrText>
                    </w:r>
                    <w:r>
                      <w:rPr>
                        <w:rFonts w:hint="eastAsia"/>
                      </w:rPr>
                      <w:fldChar w:fldCharType="separate"/>
                    </w:r>
                    <w:r w:rsidR="00063183">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FA" w:rsidRDefault="000762FA">
      <w:r>
        <w:separator/>
      </w:r>
    </w:p>
  </w:footnote>
  <w:footnote w:type="continuationSeparator" w:id="0">
    <w:p w:rsidR="000762FA" w:rsidRDefault="00076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DdlNDlhZGU5ZmQ3N2VlZjBjYzQxYzE2NWRiMzMifQ=="/>
  </w:docVars>
  <w:rsids>
    <w:rsidRoot w:val="204F3E9C"/>
    <w:rsid w:val="00063183"/>
    <w:rsid w:val="000762FA"/>
    <w:rsid w:val="003847C2"/>
    <w:rsid w:val="0059262E"/>
    <w:rsid w:val="00E95C2E"/>
    <w:rsid w:val="10395D19"/>
    <w:rsid w:val="14B55742"/>
    <w:rsid w:val="194E3FF3"/>
    <w:rsid w:val="204F3E9C"/>
    <w:rsid w:val="3FBB1154"/>
    <w:rsid w:val="52DB67D0"/>
    <w:rsid w:val="5A750852"/>
    <w:rsid w:val="7F31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D6B258-7A9E-46D7-83F0-F6E12649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spacing w:before="100" w:beforeAutospacing="1"/>
      <w:ind w:firstLine="420"/>
    </w:pPr>
  </w:style>
  <w:style w:type="paragraph" w:styleId="a3">
    <w:name w:val="Body Text Indent"/>
    <w:basedOn w:val="a"/>
    <w:uiPriority w:val="99"/>
    <w:unhideWhenUsed/>
    <w:qFormat/>
    <w:pPr>
      <w:spacing w:after="120"/>
      <w:ind w:leftChars="200" w:left="420"/>
    </w:pPr>
  </w:style>
  <w:style w:type="paragraph" w:styleId="3">
    <w:name w:val="toc 3"/>
    <w:basedOn w:val="a"/>
    <w:next w:val="a"/>
    <w:qFormat/>
    <w:pPr>
      <w:ind w:leftChars="400" w:left="840"/>
    </w:pPr>
  </w:style>
  <w:style w:type="paragraph" w:styleId="a4">
    <w:name w:val="footer"/>
    <w:basedOn w:val="a"/>
    <w:qFormat/>
    <w:pPr>
      <w:tabs>
        <w:tab w:val="center" w:pos="4153"/>
        <w:tab w:val="right" w:pos="8306"/>
      </w:tabs>
      <w:snapToGrid w:val="0"/>
      <w:jc w:val="left"/>
    </w:pPr>
    <w:rPr>
      <w:sz w:val="18"/>
    </w:rPr>
  </w:style>
  <w:style w:type="paragraph" w:styleId="1">
    <w:name w:val="toc 1"/>
    <w:basedOn w:val="a"/>
    <w:next w:val="a"/>
    <w:qFormat/>
  </w:style>
  <w:style w:type="paragraph" w:styleId="20">
    <w:name w:val="toc 2"/>
    <w:basedOn w:val="a"/>
    <w:next w:val="a"/>
    <w:qFormat/>
    <w:pPr>
      <w:ind w:leftChars="200" w:left="420"/>
    </w:pPr>
  </w:style>
  <w:style w:type="paragraph" w:styleId="a5">
    <w:name w:val="header"/>
    <w:basedOn w:val="a"/>
    <w:link w:val="a6"/>
    <w:rsid w:val="00E95C2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95C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1141</Words>
  <Characters>6508</Characters>
  <Application>Microsoft Office Word</Application>
  <DocSecurity>0</DocSecurity>
  <Lines>54</Lines>
  <Paragraphs>15</Paragraphs>
  <ScaleCrop>false</ScaleCrop>
  <Company>Bing Lan Electronic Technology</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Bing Lan Electronic Technology</cp:lastModifiedBy>
  <cp:revision>3</cp:revision>
  <cp:lastPrinted>2023-08-15T04:37:00Z</cp:lastPrinted>
  <dcterms:created xsi:type="dcterms:W3CDTF">2023-08-15T04:10:00Z</dcterms:created>
  <dcterms:modified xsi:type="dcterms:W3CDTF">2024-04-28T07:33:00Z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7B63B4D4558F41F1BE01DFAB1CFD57C0_12</vt:lpwstr>
  </property>
</Properties>
</file>