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jc w:val="center"/>
        <w:rPr>
          <w:rFonts w:ascii="微软雅黑" w:hAnsi="微软雅黑" w:eastAsia="微软雅黑" w:cs="微软雅黑"/>
          <w:i w:val="0"/>
          <w:iCs w:val="0"/>
          <w:caps w:val="0"/>
          <w:color w:val="333333"/>
          <w:spacing w:val="0"/>
          <w:sz w:val="36"/>
          <w:szCs w:val="36"/>
        </w:rPr>
      </w:pPr>
      <w:bookmarkStart w:id="0" w:name="_GoBack"/>
      <w:bookmarkEnd w:id="0"/>
      <w:r>
        <w:rPr>
          <w:rStyle w:val="5"/>
          <w:rFonts w:hint="eastAsia" w:ascii="微软雅黑" w:hAnsi="微软雅黑" w:eastAsia="微软雅黑" w:cs="微软雅黑"/>
          <w:b/>
          <w:bCs/>
          <w:i w:val="0"/>
          <w:iCs w:val="0"/>
          <w:caps w:val="0"/>
          <w:color w:val="333333"/>
          <w:spacing w:val="0"/>
          <w:sz w:val="36"/>
          <w:szCs w:val="36"/>
          <w:bdr w:val="none" w:color="auto" w:sz="0" w:space="0"/>
        </w:rPr>
        <w:t>《高新区（新市区）国民经济和社会发展第十四个五年规划和2035年远景目标纲要》解读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5" w:firstLineChars="177"/>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十四五”时期是我国全面建成小康社会、实现第一个百年奋斗目标之后，乘势而上开启全面建设社会主义现代化国家新征程、向第二个百年奋斗目标进军的第一个五年，是我区乘势而上推动高质量发展、融入新发展格局、迈向长治久安的关键五年。2021年2月26日召开的中共中央政治局会议强调，在党的领导下，发挥好中国特色社会主义制度优势，科学编制实施“十四五”规划和2035年远景目标纲要，对于巩固拓展全面建成小康社会和脱贫攻坚成果，开启全面建设社会主义现代化国家新征程具有重大意义。根据2020年12月31日中国共产党乌鲁木齐高新区（新市区）第二届委员会第九次全体会议审议通过的《中共乌鲁木齐高新区（新市区）委员会关于制定国民经济和社会发展第十四个五年规划和二〇三五年远景目标的建议》（以下简称《建议》），区发展和改革委员会牵头编制了《高新区（新市区）国民经济和社会发展第十四个五年规划和2035年远景目标纲要草案》（以下简称：《规划纲要（草案）》）。2021年1月23日，《规划纲要（草案）》已经新市区十四届人大六次会议批准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5" w:firstLineChars="177"/>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按照乌鲁木齐市要求，2021年9月，区发展和改革委启动编制《高新区（新市区）国民经济和社会发展第十四个五年规划和2035年远景目标纲要（公开发布稿）》（以下简称：《规划纲要》）。调整完毕后，区发展和改革委牵头征求26家区属相关部门意见建议，并根据提出的意见建议进行修改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6" w:firstLineChars="177"/>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一、深刻认识“十四五”规划在我市发展进程中的重大意义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5" w:firstLineChars="177"/>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规划纲要》主要阐明我区战略意图、明确政府工作重点、引导规范市场主体行为，是我区开启全面建设社会主义现代化国家新征程的宏伟蓝图。《规划纲要》是新发展阶段政府更好履职尽责的重要依据。发挥发展规划的战略导向作用，是创新和完善宏观调控的重要内容，是推进城市治理体系和治理能力现代化的内在要求。发展规划集中体现了城市战略意图和中长期发展目标，具有引导公共资源配置方向、规范市场主体行为的功能，发挥着平衡各方面关系、避免宏观失衡、引导和稳定预期的作用。落实好《规划纲要》必须推动有效市场和有为政府更好结合。一方面，《规划纲要》确定的约束性指标、重大工程项目和公共服务、生态环保、安全保障等领域任务，需要政府合理配置公共资源、引导社会资源，也需要市场主体积极参与、形成合力；另一方面，《规划纲要》提出的预期性指标和行业发展、结构调整等领域任务，主要依靠发挥市场主体作用实现，也需要政府创造良好的政策环境、体制环境和法治环境，引导各方面立足新发展阶段、贯彻新发展理念、构建新发展格局，努力推动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5" w:firstLineChars="177"/>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规划纲要》是全区各族人民奋进新征程的共同行动纲领。规划编制过程，既是一个发扬民主、汇集众智、反映民意的过程，也是一个统一思想、科学决策、凝聚共识的过程。《规划纲要》编制坚持深化研究和深入调研相结合、顶层设计和问计于民相统一，汇集了全区各族人民的智慧，实现了我区战略意图和人民共同意愿的统一。面对错综复杂的国际环境带来的新矛盾新挑战，我区社会主要矛盾变化带来的新特征新要求，《规划纲要》坚持全球眼光、战略思维，统筹兼顾、精准施策，是积极主动应对世界百年未有之大变局的系统部署，是精准有效破解发展中突出矛盾问题的解决方案。当前，我区社会主义现代化建设已进入新发展阶段，《规划纲要》站在新的起点上谋划部署“十四五”时期经济社会发展，将开启新征程、续写新辉煌，推动中华民族伟大复兴向前迈出新的一大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6" w:firstLineChars="177"/>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二、《规划纲要》“十四五”时期经济社会发展的目标和指标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5" w:firstLineChars="177"/>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规划纲要》按照《建议》对全面建设社会主义现代化新区的战略安排，清晰描绘了2035年基本实现社会主义现代化的远景目标。同时，聚焦“十四五”阶段性任务，以及“十个新”的主要目标要求，从经济实力、科技创新、改革开放、城乡建设、社会文明、生态文明、民生福祉、治理能效等方面，进一步细化实化了“十四五”时期经济社会发展的主要目标，并从经济发展、创新驱动、民生福祉、绿色生态、安全保障等5个方面，设置了16个主要指标。这些指标的设置，充分体现了新发展理念的要求，与高质量发展指示体系进行了充分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5" w:firstLineChars="177"/>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规划纲要》主要指标设置有许多创新。例加，经济增长目标以定性表述为主。将指标值设定为“保持在合理区间、各年度视情提出”，这是从推进现代化建设的全局和整体出发，充分把握“十四五”时期发展趋势和内外部环境作出的一次重大创新，既体现了不能简单以GDP增速论英雄的导向，也蕴含了使经济增速与潜在经济增长率保持一致的要求；同时，考虑到这五年内外部环境仍有较大不确定性，不框定具体的量化增速目标，有利于更积极、主动、从容地应对各类风险挑战，增强发展的灵活性，也有利于引导各方面把工作重点放在提高发展质量和效益上。又如，民生福祉类指标数量最多。16个主要指标中有6个是民生福祉类的、占比超过1/3，比重是历次五年规划中最高的，这些指标覆盖了收入、就业、教育、医疗、养老、托育等各民生领域，还有一个人均预期寿命的综合性指标，充分体现了以人民为中心的发展思想。再如，首次设置安全保障类指标。提出能源综合生产能力高于“十三五”时期，充分体现了坚持底线思维、统筹发展和安全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6" w:firstLineChars="177"/>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三、《规划纲要》主要内容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5" w:firstLineChars="177"/>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《规划纲要》共分为13章58节4.3万余字，涉及经济社会发展方方面面，内容丰富、意义深远。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6" w:firstLineChars="177"/>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第一章：发展成就和长远目标。</w:t>
      </w:r>
      <w:r>
        <w:rPr>
          <w:rFonts w:hint="eastAsia" w:ascii="微软雅黑" w:hAnsi="微软雅黑" w:eastAsia="微软雅黑" w:cs="微软雅黑"/>
          <w:i w:val="0"/>
          <w:iCs w:val="0"/>
          <w:caps w:val="0"/>
          <w:color w:val="333333"/>
          <w:spacing w:val="0"/>
          <w:sz w:val="28"/>
          <w:szCs w:val="28"/>
          <w:bdr w:val="none" w:color="auto" w:sz="0" w:space="0"/>
        </w:rPr>
        <w:t>共分为发展成就、发展环境、2035年远景目标3个小节。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第二章：开启全面建设社会主义现代化国家新征程。</w:t>
      </w:r>
      <w:r>
        <w:rPr>
          <w:rFonts w:hint="eastAsia" w:ascii="微软雅黑" w:hAnsi="微软雅黑" w:eastAsia="微软雅黑" w:cs="微软雅黑"/>
          <w:i w:val="0"/>
          <w:iCs w:val="0"/>
          <w:caps w:val="0"/>
          <w:color w:val="333333"/>
          <w:spacing w:val="0"/>
          <w:sz w:val="28"/>
          <w:szCs w:val="28"/>
          <w:bdr w:val="none" w:color="auto" w:sz="0" w:space="0"/>
        </w:rPr>
        <w:t>共分为指导思想、基本原则、发展目标3个小节。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第三章：提升创新核心地位。</w:t>
      </w:r>
      <w:r>
        <w:rPr>
          <w:rFonts w:hint="eastAsia" w:ascii="微软雅黑" w:hAnsi="微软雅黑" w:eastAsia="微软雅黑" w:cs="微软雅黑"/>
          <w:i w:val="0"/>
          <w:iCs w:val="0"/>
          <w:caps w:val="0"/>
          <w:color w:val="333333"/>
          <w:spacing w:val="0"/>
          <w:sz w:val="28"/>
          <w:szCs w:val="28"/>
          <w:bdr w:val="none" w:color="auto" w:sz="0" w:space="0"/>
        </w:rPr>
        <w:t>共分为再塑科技创新区域优势、打造一流创新园区、提升企业创新能力、深化科技体制机制改革、全面实施人才强区战略、全力推进重大科技创新工程与重点项目6个小节。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第四章：推进工业强基增效和转型升级。</w:t>
      </w:r>
      <w:r>
        <w:rPr>
          <w:rFonts w:hint="eastAsia" w:ascii="微软雅黑" w:hAnsi="微软雅黑" w:eastAsia="微软雅黑" w:cs="微软雅黑"/>
          <w:i w:val="0"/>
          <w:iCs w:val="0"/>
          <w:caps w:val="0"/>
          <w:color w:val="333333"/>
          <w:spacing w:val="0"/>
          <w:sz w:val="28"/>
          <w:szCs w:val="28"/>
          <w:bdr w:val="none" w:color="auto" w:sz="0" w:space="0"/>
        </w:rPr>
        <w:t>共分为加快推进工业产业集群发展、优化产业布局和园区建设、不断深化“两化融合”、大力发展数字经济4个小节。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第五章：推动服务业高质量发展。</w:t>
      </w:r>
      <w:r>
        <w:rPr>
          <w:rFonts w:hint="eastAsia" w:ascii="微软雅黑" w:hAnsi="微软雅黑" w:eastAsia="微软雅黑" w:cs="微软雅黑"/>
          <w:i w:val="0"/>
          <w:iCs w:val="0"/>
          <w:caps w:val="0"/>
          <w:color w:val="333333"/>
          <w:spacing w:val="0"/>
          <w:sz w:val="28"/>
          <w:szCs w:val="28"/>
          <w:bdr w:val="none" w:color="auto" w:sz="0" w:space="0"/>
        </w:rPr>
        <w:t>共分为全面提升传统服务业、优化商圈布局、推动现代服务业发展、推动传统服务业和现代服务业融合发展、大力发展旅游业、稳步发展房地产业6个小节。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第六章：全面提升开放经济水平。</w:t>
      </w:r>
      <w:r>
        <w:rPr>
          <w:rFonts w:hint="eastAsia" w:ascii="微软雅黑" w:hAnsi="微软雅黑" w:eastAsia="微软雅黑" w:cs="微软雅黑"/>
          <w:i w:val="0"/>
          <w:iCs w:val="0"/>
          <w:caps w:val="0"/>
          <w:color w:val="333333"/>
          <w:spacing w:val="0"/>
          <w:sz w:val="28"/>
          <w:szCs w:val="28"/>
          <w:bdr w:val="none" w:color="auto" w:sz="0" w:space="0"/>
        </w:rPr>
        <w:t>共分为积极参与丝绸之路经济带核心区建设、实施扩大内需战略、全面提高开放水平、提升招商引资水平4个小节。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第七章：着力推进全面深化改革。</w:t>
      </w:r>
      <w:r>
        <w:rPr>
          <w:rFonts w:hint="eastAsia" w:ascii="微软雅黑" w:hAnsi="微软雅黑" w:eastAsia="微软雅黑" w:cs="微软雅黑"/>
          <w:i w:val="0"/>
          <w:iCs w:val="0"/>
          <w:caps w:val="0"/>
          <w:color w:val="333333"/>
          <w:spacing w:val="0"/>
          <w:sz w:val="28"/>
          <w:szCs w:val="28"/>
          <w:bdr w:val="none" w:color="auto" w:sz="0" w:space="0"/>
        </w:rPr>
        <w:t>共分为增强各类市场主体活力、深化金融财税体制改革、发展壮大民营经济、优化提升营商环境4个小节。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第八章：积极推进区域协调发展。</w:t>
      </w:r>
      <w:r>
        <w:rPr>
          <w:rFonts w:hint="eastAsia" w:ascii="微软雅黑" w:hAnsi="微软雅黑" w:eastAsia="微软雅黑" w:cs="微软雅黑"/>
          <w:i w:val="0"/>
          <w:iCs w:val="0"/>
          <w:caps w:val="0"/>
          <w:color w:val="333333"/>
          <w:spacing w:val="0"/>
          <w:sz w:val="28"/>
          <w:szCs w:val="28"/>
          <w:bdr w:val="none" w:color="auto" w:sz="0" w:space="0"/>
        </w:rPr>
        <w:t>共分为构建国土空间开发新格局、建设现代化国际化新城区、加快新型城镇化建设、全面推进乡村振兴、建设安宁渠特色小镇5个小节。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第九章：大力推进文化润疆工程。</w:t>
      </w:r>
      <w:r>
        <w:rPr>
          <w:rFonts w:hint="eastAsia" w:ascii="微软雅黑" w:hAnsi="微软雅黑" w:eastAsia="微软雅黑" w:cs="微软雅黑"/>
          <w:i w:val="0"/>
          <w:iCs w:val="0"/>
          <w:caps w:val="0"/>
          <w:color w:val="333333"/>
          <w:spacing w:val="0"/>
          <w:sz w:val="28"/>
          <w:szCs w:val="28"/>
          <w:bdr w:val="none" w:color="auto" w:sz="0" w:space="0"/>
        </w:rPr>
        <w:t>共分为铸牢中华民族共同体意识、深入实施文化润疆工程、促进宗教和睦和谐、提高社会文明程度、提升公共文化服务水平、发展现代文化产业6个小节。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第十章：努力建设美丽新区。</w:t>
      </w:r>
      <w:r>
        <w:rPr>
          <w:rFonts w:hint="eastAsia" w:ascii="微软雅黑" w:hAnsi="微软雅黑" w:eastAsia="微软雅黑" w:cs="微软雅黑"/>
          <w:i w:val="0"/>
          <w:iCs w:val="0"/>
          <w:caps w:val="0"/>
          <w:color w:val="333333"/>
          <w:spacing w:val="0"/>
          <w:sz w:val="28"/>
          <w:szCs w:val="28"/>
          <w:bdr w:val="none" w:color="auto" w:sz="0" w:space="0"/>
        </w:rPr>
        <w:t>共分为大力推动绿色低碳循环发展、完善生态文明制度建设、加强生态保护修复、全面提高资源利用效率4个小节。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第十一章：改善人民生活品质。</w:t>
      </w:r>
      <w:r>
        <w:rPr>
          <w:rFonts w:hint="eastAsia" w:ascii="微软雅黑" w:hAnsi="微软雅黑" w:eastAsia="微软雅黑" w:cs="微软雅黑"/>
          <w:i w:val="0"/>
          <w:iCs w:val="0"/>
          <w:caps w:val="0"/>
          <w:color w:val="333333"/>
          <w:spacing w:val="0"/>
          <w:sz w:val="28"/>
          <w:szCs w:val="28"/>
          <w:bdr w:val="none" w:color="auto" w:sz="0" w:space="0"/>
        </w:rPr>
        <w:t>共分为推动实现高质量就业、建设高质量教育体系、全面推进健康新区建设、强化基层公共服务保障、建立健全收入分配秩序、促进人口均衡发展、坚持青年优先发展7个小节。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第十二章：筑牢长治久安根基。</w:t>
      </w:r>
      <w:r>
        <w:rPr>
          <w:rFonts w:hint="eastAsia" w:ascii="微软雅黑" w:hAnsi="微软雅黑" w:eastAsia="微软雅黑" w:cs="微软雅黑"/>
          <w:i w:val="0"/>
          <w:iCs w:val="0"/>
          <w:caps w:val="0"/>
          <w:color w:val="333333"/>
          <w:spacing w:val="0"/>
          <w:sz w:val="28"/>
          <w:szCs w:val="28"/>
          <w:bdr w:val="none" w:color="auto" w:sz="0" w:space="0"/>
        </w:rPr>
        <w:t>共分为加强法治新区建设、加强和创新社会治理2个小节。</w:t>
      </w:r>
      <w:r>
        <w:rPr>
          <w:rStyle w:val="5"/>
          <w:rFonts w:hint="eastAsia" w:ascii="微软雅黑" w:hAnsi="微软雅黑" w:eastAsia="微软雅黑" w:cs="微软雅黑"/>
          <w:b/>
          <w:bCs/>
          <w:i w:val="0"/>
          <w:iCs w:val="0"/>
          <w:caps w:val="0"/>
          <w:color w:val="333333"/>
          <w:spacing w:val="0"/>
          <w:sz w:val="28"/>
          <w:szCs w:val="28"/>
          <w:bdr w:val="none" w:color="auto" w:sz="0" w:space="0"/>
        </w:rPr>
        <w:t>第十三章：全面加强党的领导。</w:t>
      </w:r>
      <w:r>
        <w:rPr>
          <w:rFonts w:hint="eastAsia" w:ascii="微软雅黑" w:hAnsi="微软雅黑" w:eastAsia="微软雅黑" w:cs="微软雅黑"/>
          <w:i w:val="0"/>
          <w:iCs w:val="0"/>
          <w:caps w:val="0"/>
          <w:color w:val="333333"/>
          <w:spacing w:val="0"/>
          <w:sz w:val="28"/>
          <w:szCs w:val="28"/>
          <w:bdr w:val="none" w:color="auto" w:sz="0" w:space="0"/>
        </w:rPr>
        <w:t>共分为持续加强党的领导、加强规划统筹协调、健全规划落实机制、做好规划监督评估4个小节。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495" w:firstLineChars="177"/>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实施好《规划纲要》，必须坚持以习近平新时代中国特色社会主义思想为指导，加强党的全面领导，完善上下贯通、执行有力的组织体系，健全激励导向的绩效评价考核机制。 加快建立健全以《规划纲要》为统领，以空间规划为基础，以专项规划、区域规划为支撑，定位准确、边界清晰、功能互补、统一衔接的高新区（新市区）规划体系，确保“十四五”时期发展的各项重大决策部署落到实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5265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2024-03-29T17:05:56Z</dcterms:created>
  <dc:creator>qfwind</dc:creator>
  <cp:lastModifiedBy>峰</cp:lastModifiedBy>
  <dcterms:modified xsi:type="dcterms:W3CDTF">2024-03-29T17:07:17Z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5C66759D020E458A8EC51ED531791516_12</vt:lpwstr>
  </property>
</Properties>
</file>