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5F" w:rsidRDefault="0036485F">
      <w:pPr>
        <w:rPr>
          <w:rFonts w:ascii="黑体" w:eastAsia="黑体" w:hAnsi="黑体"/>
          <w:sz w:val="32"/>
          <w:szCs w:val="32"/>
        </w:rPr>
      </w:pPr>
    </w:p>
    <w:p w:rsidR="0036485F" w:rsidRDefault="0036485F">
      <w:pPr>
        <w:jc w:val="center"/>
        <w:rPr>
          <w:rFonts w:ascii="方正小标宋_GBK" w:eastAsia="方正小标宋_GBK" w:hAnsi="宋体"/>
          <w:sz w:val="44"/>
          <w:szCs w:val="44"/>
        </w:rPr>
      </w:pPr>
    </w:p>
    <w:p w:rsidR="0036485F" w:rsidRDefault="0036485F">
      <w:pPr>
        <w:jc w:val="center"/>
        <w:rPr>
          <w:rFonts w:ascii="方正小标宋_GBK" w:eastAsia="方正小标宋_GBK" w:hAnsi="宋体"/>
          <w:sz w:val="44"/>
          <w:szCs w:val="44"/>
        </w:rPr>
      </w:pPr>
    </w:p>
    <w:p w:rsidR="0036485F" w:rsidRDefault="0036485F">
      <w:pPr>
        <w:jc w:val="center"/>
        <w:rPr>
          <w:rFonts w:ascii="方正小标宋_GBK" w:eastAsia="方正小标宋_GBK" w:hAnsi="宋体"/>
          <w:sz w:val="44"/>
          <w:szCs w:val="44"/>
        </w:rPr>
      </w:pPr>
    </w:p>
    <w:p w:rsidR="0036485F" w:rsidRDefault="0036485F">
      <w:pPr>
        <w:jc w:val="center"/>
        <w:rPr>
          <w:rFonts w:ascii="方正小标宋_GBK" w:eastAsia="方正小标宋_GBK" w:hAnsi="宋体"/>
          <w:sz w:val="44"/>
          <w:szCs w:val="44"/>
        </w:rPr>
      </w:pPr>
    </w:p>
    <w:p w:rsidR="0036485F" w:rsidRDefault="00667E9C">
      <w:pPr>
        <w:jc w:val="center"/>
        <w:rPr>
          <w:rFonts w:ascii="方正小标宋_GBK" w:eastAsia="方正小标宋_GBK" w:hAnsi="宋体"/>
          <w:sz w:val="44"/>
          <w:szCs w:val="44"/>
        </w:rPr>
      </w:pPr>
      <w:r>
        <w:rPr>
          <w:rFonts w:ascii="方正小标宋_GBK" w:eastAsia="方正小标宋_GBK" w:hAnsi="方正小标宋_GBK" w:hint="eastAsia"/>
          <w:sz w:val="44"/>
        </w:rPr>
        <w:t>乌鲁木齐高新技术产业开发区（乌鲁木齐市新市区）园林队</w:t>
      </w:r>
      <w:r>
        <w:rPr>
          <w:rFonts w:ascii="方正小标宋_GBK" w:eastAsia="方正小标宋_GBK" w:hAnsi="宋体" w:hint="eastAsia"/>
          <w:sz w:val="44"/>
          <w:szCs w:val="44"/>
        </w:rPr>
        <w:t>2022</w:t>
      </w:r>
      <w:r>
        <w:rPr>
          <w:rFonts w:ascii="方正小标宋_GBK" w:eastAsia="方正小标宋_GBK" w:hAnsi="宋体" w:hint="eastAsia"/>
          <w:sz w:val="44"/>
          <w:szCs w:val="44"/>
        </w:rPr>
        <w:t>年度部门决算</w:t>
      </w:r>
    </w:p>
    <w:p w:rsidR="0036485F" w:rsidRDefault="00667E9C">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36485F" w:rsidRDefault="00667E9C">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w:t>
      </w:r>
      <w:r>
        <w:rPr>
          <w:rFonts w:ascii="仿宋_GB2312" w:eastAsia="仿宋_GB2312" w:hAnsi="仿宋_GB2312" w:cs="仿宋_GB2312" w:hint="eastAsia"/>
          <w:b/>
          <w:kern w:val="0"/>
          <w:sz w:val="36"/>
          <w:szCs w:val="36"/>
        </w:rPr>
        <w:t xml:space="preserve">  </w:t>
      </w:r>
      <w:r>
        <w:rPr>
          <w:rFonts w:ascii="仿宋_GB2312" w:eastAsia="仿宋_GB2312" w:hAnsi="仿宋_GB2312" w:cs="仿宋_GB2312" w:hint="eastAsia"/>
          <w:b/>
          <w:kern w:val="0"/>
          <w:sz w:val="36"/>
          <w:szCs w:val="36"/>
        </w:rPr>
        <w:t>录</w:t>
      </w:r>
    </w:p>
    <w:p w:rsidR="0036485F" w:rsidRDefault="00667E9C">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单位概况</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30567" w:history="1">
        <w:r>
          <w:rPr>
            <w:rFonts w:ascii="仿宋_GB2312" w:eastAsia="仿宋_GB2312" w:hAnsi="仿宋_GB2312" w:cs="仿宋_GB2312" w:hint="eastAsia"/>
            <w:bCs/>
            <w:kern w:val="0"/>
            <w:sz w:val="32"/>
            <w:szCs w:val="32"/>
          </w:rPr>
          <w:t>一、主要职能</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151" w:history="1">
        <w:r>
          <w:rPr>
            <w:rFonts w:ascii="仿宋_GB2312" w:eastAsia="仿宋_GB2312" w:hAnsi="仿宋_GB2312" w:cs="仿宋_GB2312" w:hint="eastAsia"/>
            <w:bCs/>
            <w:kern w:val="0"/>
            <w:sz w:val="32"/>
            <w:szCs w:val="32"/>
          </w:rPr>
          <w:t>二、机构设置</w:t>
        </w:r>
        <w:r>
          <w:rPr>
            <w:rFonts w:ascii="仿宋_GB2312" w:eastAsia="仿宋_GB2312" w:hAnsi="仿宋_GB2312" w:cs="仿宋_GB2312" w:hint="eastAsia"/>
            <w:bCs/>
            <w:kern w:val="0"/>
            <w:sz w:val="32"/>
            <w:szCs w:val="32"/>
          </w:rPr>
          <w:t>及人员</w:t>
        </w:r>
        <w:r>
          <w:rPr>
            <w:rFonts w:ascii="仿宋_GB2312" w:eastAsia="仿宋_GB2312" w:hAnsi="仿宋_GB2312" w:cs="仿宋_GB2312" w:hint="eastAsia"/>
            <w:bCs/>
            <w:kern w:val="0"/>
            <w:sz w:val="32"/>
            <w:szCs w:val="32"/>
          </w:rPr>
          <w:t>情况</w:t>
        </w:r>
      </w:hyperlink>
    </w:p>
    <w:p w:rsidR="0036485F" w:rsidRDefault="00667E9C">
      <w:pPr>
        <w:pStyle w:val="1"/>
        <w:tabs>
          <w:tab w:val="right" w:pos="8306"/>
        </w:tabs>
        <w:rPr>
          <w:rFonts w:ascii="仿宋_GB2312" w:eastAsia="仿宋_GB2312" w:hAnsi="仿宋_GB2312" w:cs="仿宋_GB2312"/>
          <w:b/>
          <w:bCs/>
          <w:sz w:val="32"/>
          <w:szCs w:val="32"/>
        </w:rPr>
      </w:pPr>
      <w:hyperlink w:anchor="_Toc29374" w:history="1">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5314" w:history="1">
        <w:r>
          <w:rPr>
            <w:rFonts w:ascii="仿宋_GB2312" w:eastAsia="仿宋_GB2312" w:hAnsi="仿宋_GB2312" w:cs="仿宋_GB2312" w:hint="eastAsia"/>
            <w:bCs/>
            <w:kern w:val="0"/>
            <w:sz w:val="32"/>
            <w:szCs w:val="32"/>
          </w:rPr>
          <w:t>一、收入支出决算总体情况说明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12142" w:history="1">
        <w:r>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kern w:val="0"/>
            <w:sz w:val="32"/>
            <w:szCs w:val="32"/>
          </w:rPr>
          <w:t>收入</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13201" w:history="1">
        <w:r>
          <w:rPr>
            <w:rFonts w:ascii="仿宋_GB2312" w:eastAsia="仿宋_GB2312" w:hAnsi="仿宋_GB2312" w:cs="仿宋_GB2312" w:hint="eastAsia"/>
            <w:bCs/>
            <w:kern w:val="0"/>
            <w:sz w:val="32"/>
            <w:szCs w:val="32"/>
          </w:rPr>
          <w:t>三、支出决算情况说明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6564" w:history="1">
        <w:r>
          <w:rPr>
            <w:rFonts w:ascii="仿宋_GB2312" w:eastAsia="仿宋_GB2312" w:hAnsi="仿宋_GB2312" w:cs="仿宋_GB2312" w:hint="eastAsia"/>
            <w:bCs/>
            <w:kern w:val="0"/>
            <w:sz w:val="32"/>
            <w:szCs w:val="32"/>
          </w:rPr>
          <w:t>四、财政拨款收入支出决算总体情况说明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0360" w:history="1">
        <w:r>
          <w:rPr>
            <w:rFonts w:ascii="仿宋_GB2312" w:eastAsia="仿宋_GB2312" w:hAnsi="仿宋_GB2312" w:cs="仿宋_GB2312" w:hint="eastAsia"/>
            <w:bCs/>
            <w:kern w:val="0"/>
            <w:sz w:val="32"/>
            <w:szCs w:val="32"/>
          </w:rPr>
          <w:t>五、一般公共预算财政拨款支出决算情况说明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30870" w:history="1">
        <w:r>
          <w:rPr>
            <w:rFonts w:ascii="仿宋_GB2312" w:eastAsia="仿宋_GB2312" w:hAnsi="仿宋_GB2312" w:cs="仿宋_GB2312" w:hint="eastAsia"/>
            <w:bCs/>
            <w:kern w:val="0"/>
            <w:sz w:val="32"/>
            <w:szCs w:val="32"/>
          </w:rPr>
          <w:t>六、一般公共预算财政拨款基本支出决算情况说明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1518" w:history="1">
        <w:r>
          <w:rPr>
            <w:rFonts w:ascii="仿宋_GB2312" w:eastAsia="仿宋_GB2312" w:hAnsi="仿宋_GB2312" w:cs="仿宋_GB2312" w:hint="eastAsia"/>
            <w:bCs/>
            <w:kern w:val="0"/>
            <w:sz w:val="32"/>
            <w:szCs w:val="32"/>
          </w:rPr>
          <w:t>七</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财政拨款</w:t>
        </w:r>
        <w:r>
          <w:rPr>
            <w:rFonts w:ascii="仿宋_GB2312" w:eastAsia="仿宋_GB2312" w:hAnsi="仿宋_GB2312" w:cs="仿宋_GB2312" w:hint="eastAsia"/>
            <w:bCs/>
            <w:kern w:val="0"/>
            <w:sz w:val="32"/>
            <w:szCs w:val="32"/>
          </w:rPr>
          <w:t>“三公”经费支出</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w:t>
        </w:r>
        <w:r>
          <w:rPr>
            <w:rFonts w:ascii="仿宋_GB2312" w:eastAsia="仿宋_GB2312" w:hAnsi="仿宋_GB2312" w:cs="仿宋_GB2312" w:hint="eastAsia"/>
            <w:bCs/>
            <w:kern w:val="0"/>
            <w:sz w:val="32"/>
            <w:szCs w:val="32"/>
          </w:rPr>
          <w:t>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5810"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政府性基金预算财政拨款收入支出决算情况说明</w:t>
        </w:r>
      </w:hyperlink>
    </w:p>
    <w:p w:rsidR="0036485F" w:rsidRDefault="00667E9C">
      <w:hyperlink w:anchor="_Toc5810" w:history="1">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、国有资本经营预算财政拨款收入支出决算情况说明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1235" w:history="1">
        <w:r>
          <w:rPr>
            <w:rFonts w:ascii="仿宋_GB2312" w:eastAsia="仿宋_GB2312" w:hAnsi="仿宋_GB2312" w:cs="仿宋_GB2312" w:hint="eastAsia"/>
            <w:sz w:val="32"/>
            <w:szCs w:val="32"/>
          </w:rPr>
          <w:t>十</w:t>
        </w:r>
        <w:r>
          <w:rPr>
            <w:rFonts w:ascii="仿宋_GB2312" w:eastAsia="仿宋_GB2312" w:hAnsi="仿宋_GB2312" w:cs="仿宋_GB2312" w:hint="eastAsia"/>
            <w:bCs/>
            <w:kern w:val="0"/>
            <w:sz w:val="32"/>
            <w:szCs w:val="32"/>
          </w:rPr>
          <w:t>、其他重要事项的情况</w:t>
        </w:r>
        <w:r>
          <w:rPr>
            <w:rFonts w:ascii="仿宋_GB2312" w:eastAsia="仿宋_GB2312" w:hAnsi="仿宋_GB2312" w:cs="仿宋_GB2312" w:hint="eastAsia"/>
            <w:bCs/>
            <w:kern w:val="0"/>
            <w:sz w:val="32"/>
            <w:szCs w:val="32"/>
          </w:rPr>
          <w:t>说明</w:t>
        </w:r>
      </w:hyperlink>
    </w:p>
    <w:p w:rsidR="0036485F" w:rsidRDefault="00667E9C">
      <w:pPr>
        <w:pStyle w:val="3"/>
        <w:tabs>
          <w:tab w:val="right" w:pos="8306"/>
        </w:tabs>
        <w:ind w:leftChars="0" w:left="0"/>
        <w:rPr>
          <w:rFonts w:ascii="仿宋_GB2312" w:eastAsia="仿宋_GB2312" w:hAnsi="仿宋_GB2312" w:cs="仿宋_GB2312"/>
          <w:sz w:val="32"/>
          <w:szCs w:val="32"/>
        </w:rPr>
      </w:pPr>
      <w:hyperlink w:anchor="_Toc14519" w:history="1">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机关运行经费支出情况</w:t>
        </w:r>
      </w:hyperlink>
    </w:p>
    <w:p w:rsidR="0036485F" w:rsidRDefault="00667E9C">
      <w:pPr>
        <w:pStyle w:val="3"/>
        <w:tabs>
          <w:tab w:val="right" w:pos="8306"/>
        </w:tabs>
        <w:ind w:leftChars="0" w:left="0"/>
        <w:rPr>
          <w:rFonts w:ascii="仿宋_GB2312" w:eastAsia="仿宋_GB2312" w:hAnsi="仿宋_GB2312" w:cs="仿宋_GB2312"/>
          <w:sz w:val="32"/>
          <w:szCs w:val="32"/>
        </w:rPr>
      </w:pPr>
      <w:hyperlink w:anchor="_Toc227" w:history="1">
        <w:r>
          <w:rPr>
            <w:rFonts w:ascii="仿宋_GB2312" w:eastAsia="仿宋_GB2312" w:hAnsi="仿宋_GB2312" w:cs="仿宋_GB2312" w:hint="eastAsia"/>
            <w:sz w:val="32"/>
            <w:szCs w:val="32"/>
          </w:rPr>
          <w:t>（二）政府采购情况</w:t>
        </w:r>
      </w:hyperlink>
    </w:p>
    <w:p w:rsidR="0036485F" w:rsidRDefault="00667E9C">
      <w:pPr>
        <w:pStyle w:val="3"/>
        <w:tabs>
          <w:tab w:val="right" w:pos="8306"/>
        </w:tabs>
        <w:ind w:leftChars="0" w:left="0"/>
        <w:rPr>
          <w:rFonts w:ascii="仿宋_GB2312" w:eastAsia="仿宋_GB2312" w:hAnsi="仿宋_GB2312" w:cs="仿宋_GB2312"/>
          <w:sz w:val="32"/>
          <w:szCs w:val="32"/>
        </w:rPr>
      </w:pPr>
      <w:hyperlink w:anchor="_Toc8391" w:history="1">
        <w:r>
          <w:rPr>
            <w:rFonts w:ascii="仿宋_GB2312" w:eastAsia="仿宋_GB2312" w:hAnsi="仿宋_GB2312" w:cs="仿宋_GB2312" w:hint="eastAsia"/>
            <w:sz w:val="32"/>
            <w:szCs w:val="32"/>
          </w:rPr>
          <w:t>（三）国有资产占用情况说明</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11283" w:history="1">
        <w:r>
          <w:rPr>
            <w:rFonts w:ascii="仿宋_GB2312" w:eastAsia="仿宋_GB2312" w:hAnsi="仿宋_GB2312" w:cs="仿宋_GB2312" w:hint="eastAsia"/>
            <w:bCs/>
            <w:kern w:val="0"/>
            <w:sz w:val="32"/>
            <w:szCs w:val="32"/>
          </w:rPr>
          <w:t>十</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bCs/>
            <w:kern w:val="0"/>
            <w:sz w:val="32"/>
            <w:szCs w:val="32"/>
          </w:rPr>
          <w:t>、预算绩效的情况说明</w:t>
        </w:r>
      </w:hyperlink>
    </w:p>
    <w:p w:rsidR="0036485F" w:rsidRDefault="00667E9C">
      <w:pPr>
        <w:pStyle w:val="1"/>
        <w:tabs>
          <w:tab w:val="right" w:pos="8306"/>
        </w:tabs>
        <w:rPr>
          <w:rFonts w:ascii="仿宋_GB2312" w:eastAsia="仿宋_GB2312" w:hAnsi="仿宋_GB2312" w:cs="仿宋_GB2312"/>
          <w:b/>
          <w:bCs/>
          <w:sz w:val="32"/>
          <w:szCs w:val="32"/>
        </w:rPr>
      </w:pPr>
      <w:hyperlink w:anchor="_Toc3250" w:history="1">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专业名词解释</w:t>
        </w:r>
      </w:hyperlink>
    </w:p>
    <w:p w:rsidR="0036485F" w:rsidRDefault="00667E9C">
      <w:pPr>
        <w:pStyle w:val="1"/>
        <w:tabs>
          <w:tab w:val="right" w:pos="8306"/>
        </w:tabs>
        <w:rPr>
          <w:rFonts w:ascii="仿宋_GB2312" w:eastAsia="仿宋_GB2312" w:hAnsi="仿宋_GB2312" w:cs="仿宋_GB2312"/>
          <w:b/>
          <w:bCs/>
          <w:sz w:val="32"/>
          <w:szCs w:val="32"/>
        </w:rPr>
      </w:pPr>
      <w:hyperlink w:anchor="_Toc22784" w:history="1">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部门决算报表（见附表）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183" w:history="1">
        <w:r>
          <w:rPr>
            <w:rFonts w:ascii="仿宋_GB2312" w:eastAsia="仿宋_GB2312" w:hAnsi="仿宋_GB2312" w:cs="仿宋_GB2312" w:hint="eastAsia"/>
            <w:bCs/>
            <w:kern w:val="0"/>
            <w:sz w:val="32"/>
            <w:szCs w:val="32"/>
          </w:rPr>
          <w:t>一、《收入支出决算总表》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4532" w:history="1">
        <w:r>
          <w:rPr>
            <w:rFonts w:ascii="仿宋_GB2312" w:eastAsia="仿宋_GB2312" w:hAnsi="仿宋_GB2312" w:cs="仿宋_GB2312" w:hint="eastAsia"/>
            <w:bCs/>
            <w:kern w:val="0"/>
            <w:sz w:val="32"/>
            <w:szCs w:val="32"/>
          </w:rPr>
          <w:t>二、《收入决算表》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32434" w:history="1">
        <w:r>
          <w:rPr>
            <w:rFonts w:ascii="仿宋_GB2312" w:eastAsia="仿宋_GB2312" w:hAnsi="仿宋_GB2312" w:cs="仿宋_GB2312" w:hint="eastAsia"/>
            <w:bCs/>
            <w:kern w:val="0"/>
            <w:sz w:val="32"/>
            <w:szCs w:val="32"/>
          </w:rPr>
          <w:t>三、《支出决算表》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8786" w:history="1">
        <w:r>
          <w:rPr>
            <w:rFonts w:ascii="仿宋_GB2312" w:eastAsia="仿宋_GB2312" w:hAnsi="仿宋_GB2312" w:cs="仿宋_GB2312" w:hint="eastAsia"/>
            <w:bCs/>
            <w:kern w:val="0"/>
            <w:sz w:val="32"/>
            <w:szCs w:val="32"/>
          </w:rPr>
          <w:t>四、《财政拨款收入支出决算总表》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14869" w:history="1">
        <w:r>
          <w:rPr>
            <w:rFonts w:ascii="仿宋_GB2312" w:eastAsia="仿宋_GB2312" w:hAnsi="仿宋_GB2312" w:cs="仿宋_GB2312" w:hint="eastAsia"/>
            <w:bCs/>
            <w:kern w:val="0"/>
            <w:sz w:val="32"/>
            <w:szCs w:val="32"/>
          </w:rPr>
          <w:t>五、《一般公共预算财政拨款支出决算表》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8884" w:history="1">
        <w:r>
          <w:rPr>
            <w:rFonts w:ascii="仿宋_GB2312" w:eastAsia="仿宋_GB2312" w:hAnsi="仿宋_GB2312" w:cs="仿宋_GB2312" w:hint="eastAsia"/>
            <w:bCs/>
            <w:kern w:val="0"/>
            <w:sz w:val="32"/>
            <w:szCs w:val="32"/>
          </w:rPr>
          <w:t>六、《一般公共预算财政拨款基本支出决算表》</w:t>
        </w:r>
      </w:hyperlink>
    </w:p>
    <w:p w:rsidR="0036485F" w:rsidRDefault="00667E9C">
      <w:pPr>
        <w:pStyle w:val="2"/>
        <w:tabs>
          <w:tab w:val="right" w:pos="8306"/>
        </w:tabs>
        <w:ind w:leftChars="0" w:left="0"/>
        <w:rPr>
          <w:rFonts w:ascii="仿宋_GB2312" w:eastAsia="仿宋_GB2312" w:hAnsi="仿宋_GB2312" w:cs="仿宋_GB2312"/>
          <w:sz w:val="32"/>
          <w:szCs w:val="32"/>
        </w:rPr>
      </w:pPr>
      <w:hyperlink w:anchor="_Toc29106" w:history="1">
        <w:r>
          <w:rPr>
            <w:rFonts w:ascii="仿宋_GB2312" w:eastAsia="仿宋_GB2312" w:hAnsi="仿宋_GB2312" w:cs="仿宋_GB2312" w:hint="eastAsia"/>
            <w:bCs/>
            <w:kern w:val="0"/>
            <w:sz w:val="32"/>
            <w:szCs w:val="32"/>
          </w:rPr>
          <w:t>七、《财政拨款“三公”经费支出决算表》</w:t>
        </w:r>
      </w:hyperlink>
    </w:p>
    <w:p w:rsidR="0036485F" w:rsidRDefault="00667E9C">
      <w:pPr>
        <w:pStyle w:val="2"/>
        <w:tabs>
          <w:tab w:val="right" w:pos="8306"/>
        </w:tabs>
        <w:ind w:leftChars="0" w:left="0"/>
        <w:rPr>
          <w:rFonts w:ascii="仿宋_GB2312" w:eastAsia="仿宋_GB2312" w:hAnsi="仿宋_GB2312" w:cs="仿宋_GB2312"/>
          <w:bCs/>
          <w:kern w:val="0"/>
          <w:sz w:val="32"/>
          <w:szCs w:val="32"/>
        </w:rPr>
      </w:pPr>
      <w:hyperlink w:anchor="_Toc7643"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《政府性基金预算财政拨款收入支出决算表》</w:t>
        </w:r>
      </w:hyperlink>
    </w:p>
    <w:p w:rsidR="0036485F" w:rsidRDefault="00667E9C">
      <w:pPr>
        <w:pStyle w:val="2"/>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w:t>
      </w:r>
      <w:r>
        <w:rPr>
          <w:rFonts w:ascii="仿宋_GB2312" w:eastAsia="仿宋_GB2312" w:hAnsi="仿宋_GB2312" w:cs="仿宋_GB2312" w:hint="eastAsia"/>
          <w:bCs/>
          <w:kern w:val="0"/>
          <w:sz w:val="32"/>
          <w:szCs w:val="32"/>
        </w:rPr>
        <w:t>预算财政拨款收入支出决算表</w:t>
      </w:r>
      <w:r>
        <w:rPr>
          <w:rFonts w:ascii="仿宋_GB2312" w:eastAsia="仿宋_GB2312" w:hAnsi="仿宋_GB2312" w:cs="仿宋_GB2312" w:hint="eastAsia"/>
          <w:bCs/>
          <w:kern w:val="0"/>
          <w:sz w:val="32"/>
          <w:szCs w:val="32"/>
        </w:rPr>
        <w:t>》</w:t>
      </w:r>
    </w:p>
    <w:p w:rsidR="0036485F" w:rsidRDefault="00667E9C">
      <w:r>
        <w:rPr>
          <w:rFonts w:ascii="仿宋_GB2312" w:eastAsia="仿宋_GB2312" w:hAnsi="仿宋_GB2312" w:cs="仿宋_GB2312" w:hint="eastAsia"/>
          <w:sz w:val="32"/>
          <w:szCs w:val="32"/>
        </w:rPr>
        <w:fldChar w:fldCharType="end"/>
      </w:r>
    </w:p>
    <w:p w:rsidR="0036485F" w:rsidRDefault="00667E9C">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24028"/>
      <w:bookmarkStart w:id="1" w:name="_Toc32314"/>
      <w:r>
        <w:rPr>
          <w:rFonts w:ascii="黑体" w:eastAsia="黑体" w:hAnsi="黑体" w:hint="eastAsia"/>
          <w:sz w:val="32"/>
          <w:szCs w:val="32"/>
        </w:rPr>
        <w:lastRenderedPageBreak/>
        <w:t>第一部分</w:t>
      </w:r>
      <w:r>
        <w:rPr>
          <w:rFonts w:ascii="黑体" w:eastAsia="黑体" w:hAnsi="黑体" w:hint="eastAsia"/>
          <w:sz w:val="32"/>
          <w:szCs w:val="32"/>
        </w:rPr>
        <w:t xml:space="preserve"> </w:t>
      </w:r>
      <w:r>
        <w:rPr>
          <w:rFonts w:ascii="黑体" w:eastAsia="黑体" w:hAnsi="黑体" w:hint="eastAsia"/>
          <w:sz w:val="32"/>
          <w:szCs w:val="32"/>
        </w:rPr>
        <w:t>单位概况</w:t>
      </w:r>
      <w:bookmarkEnd w:id="0"/>
      <w:bookmarkEnd w:id="1"/>
    </w:p>
    <w:p w:rsidR="0036485F" w:rsidRDefault="00667E9C">
      <w:pPr>
        <w:ind w:firstLineChars="200" w:firstLine="640"/>
        <w:outlineLvl w:val="1"/>
        <w:rPr>
          <w:rFonts w:ascii="黑体" w:eastAsia="黑体" w:hAnsi="黑体" w:cs="宋体"/>
          <w:bCs/>
          <w:kern w:val="0"/>
          <w:sz w:val="32"/>
          <w:szCs w:val="32"/>
        </w:rPr>
      </w:pPr>
      <w:bookmarkStart w:id="2" w:name="_Toc30567"/>
      <w:bookmarkStart w:id="3" w:name="_Toc30738"/>
      <w:r>
        <w:rPr>
          <w:rFonts w:ascii="黑体" w:eastAsia="黑体" w:hAnsi="黑体" w:cs="宋体" w:hint="eastAsia"/>
          <w:bCs/>
          <w:kern w:val="0"/>
          <w:sz w:val="32"/>
          <w:szCs w:val="32"/>
        </w:rPr>
        <w:t>一、主要职能</w:t>
      </w:r>
      <w:bookmarkEnd w:id="2"/>
      <w:bookmarkEnd w:id="3"/>
    </w:p>
    <w:p w:rsidR="0036485F" w:rsidRDefault="00667E9C">
      <w:pPr>
        <w:autoSpaceDE w:val="0"/>
        <w:autoSpaceDN w:val="0"/>
        <w:ind w:firstLineChars="200" w:firstLine="640"/>
        <w:rPr>
          <w:rFonts w:ascii="仿宋_GB2312" w:eastAsia="仿宋_GB2312"/>
          <w:sz w:val="32"/>
          <w:szCs w:val="32"/>
        </w:rPr>
      </w:pPr>
      <w:bookmarkStart w:id="4" w:name="_Toc31238"/>
      <w:bookmarkStart w:id="5" w:name="_Toc2151"/>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贯彻执行国家、自治区和乌鲁木齐市有关园林绿化工作的法律、法规及管理条例</w:t>
      </w:r>
      <w:r>
        <w:rPr>
          <w:rFonts w:ascii="仿宋_GB2312" w:eastAsia="仿宋_GB2312" w:hint="eastAsia"/>
          <w:sz w:val="32"/>
          <w:szCs w:val="32"/>
        </w:rPr>
        <w:t>;</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负责辖区内公共绿地、风景林地、防护绿地、行道树及干道绿化的绿化检查，辖区内病虫害防治。</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负责辖区内林木管护、园林花卉培育、园林绿地附属设施的保护。</w:t>
      </w:r>
    </w:p>
    <w:p w:rsidR="0036485F" w:rsidRDefault="00667E9C">
      <w:pPr>
        <w:autoSpaceDE w:val="0"/>
        <w:autoSpaceDN w:val="0"/>
        <w:ind w:firstLineChars="200" w:firstLine="640"/>
        <w:rPr>
          <w:rFonts w:ascii="仿宋_GB2312" w:eastAsia="仿宋_GB2312"/>
          <w:sz w:val="32"/>
          <w:szCs w:val="32"/>
          <w:lang w:val="zh-CN"/>
        </w:rPr>
      </w:pPr>
      <w:r>
        <w:rPr>
          <w:rFonts w:ascii="仿宋_GB2312" w:eastAsia="仿宋_GB2312" w:hint="eastAsia"/>
          <w:sz w:val="32"/>
          <w:szCs w:val="32"/>
        </w:rPr>
        <w:t>（四）完成区委区政府安排的其他工作，配合上级部门完成园林绿化的各项工作任务。</w:t>
      </w:r>
    </w:p>
    <w:p w:rsidR="0036485F" w:rsidRDefault="00667E9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w:t>
      </w:r>
      <w:r>
        <w:rPr>
          <w:rFonts w:ascii="黑体" w:eastAsia="黑体" w:hAnsi="黑体" w:cs="宋体" w:hint="eastAsia"/>
          <w:bCs/>
          <w:kern w:val="0"/>
          <w:sz w:val="32"/>
          <w:szCs w:val="32"/>
        </w:rPr>
        <w:t>及</w:t>
      </w:r>
      <w:bookmarkEnd w:id="4"/>
      <w:r>
        <w:rPr>
          <w:rFonts w:ascii="黑体" w:eastAsia="黑体" w:hAnsi="黑体" w:cs="宋体" w:hint="eastAsia"/>
          <w:bCs/>
          <w:kern w:val="0"/>
          <w:sz w:val="32"/>
          <w:szCs w:val="32"/>
        </w:rPr>
        <w:t>人员</w:t>
      </w:r>
      <w:r>
        <w:rPr>
          <w:rFonts w:ascii="黑体" w:eastAsia="黑体" w:hAnsi="黑体" w:cs="宋体" w:hint="eastAsia"/>
          <w:bCs/>
          <w:kern w:val="0"/>
          <w:sz w:val="32"/>
          <w:szCs w:val="32"/>
        </w:rPr>
        <w:t>情况</w:t>
      </w:r>
      <w:bookmarkEnd w:id="5"/>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乌鲁木齐高新技术产业开发区（乌鲁木齐市新市区）园林队</w:t>
      </w:r>
      <w:r>
        <w:rPr>
          <w:rFonts w:ascii="仿宋_GB2312" w:eastAsia="仿宋_GB2312" w:hint="eastAsia"/>
          <w:sz w:val="32"/>
          <w:szCs w:val="32"/>
        </w:rPr>
        <w:t>2022</w:t>
      </w:r>
      <w:r>
        <w:rPr>
          <w:rFonts w:ascii="仿宋_GB2312" w:eastAsia="仿宋_GB2312" w:hint="eastAsia"/>
          <w:sz w:val="32"/>
          <w:szCs w:val="32"/>
        </w:rPr>
        <w:t>年度，实有人数</w:t>
      </w:r>
      <w:r>
        <w:rPr>
          <w:rFonts w:ascii="仿宋_GB2312" w:eastAsia="仿宋_GB2312" w:hint="eastAsia"/>
          <w:sz w:val="32"/>
          <w:szCs w:val="32"/>
        </w:rPr>
        <w:t>117</w:t>
      </w:r>
      <w:r>
        <w:rPr>
          <w:rFonts w:ascii="仿宋_GB2312" w:eastAsia="仿宋_GB2312" w:hint="eastAsia"/>
          <w:sz w:val="32"/>
          <w:szCs w:val="32"/>
        </w:rPr>
        <w:t>人，其中：在职人员</w:t>
      </w:r>
      <w:r>
        <w:rPr>
          <w:rFonts w:ascii="仿宋_GB2312" w:eastAsia="仿宋_GB2312" w:hint="eastAsia"/>
          <w:sz w:val="32"/>
          <w:szCs w:val="32"/>
        </w:rPr>
        <w:t>52</w:t>
      </w:r>
      <w:r>
        <w:rPr>
          <w:rFonts w:ascii="仿宋_GB2312" w:eastAsia="仿宋_GB2312" w:hint="eastAsia"/>
          <w:sz w:val="32"/>
          <w:szCs w:val="32"/>
        </w:rPr>
        <w:t>人，离休人员</w:t>
      </w:r>
      <w:r>
        <w:rPr>
          <w:rFonts w:ascii="仿宋_GB2312" w:eastAsia="仿宋_GB2312" w:hint="eastAsia"/>
          <w:sz w:val="32"/>
          <w:szCs w:val="32"/>
        </w:rPr>
        <w:t>0</w:t>
      </w:r>
      <w:r>
        <w:rPr>
          <w:rFonts w:ascii="仿宋_GB2312" w:eastAsia="仿宋_GB2312" w:hint="eastAsia"/>
          <w:sz w:val="32"/>
          <w:szCs w:val="32"/>
        </w:rPr>
        <w:t>人，退休人员</w:t>
      </w:r>
      <w:r>
        <w:rPr>
          <w:rFonts w:ascii="仿宋_GB2312" w:eastAsia="仿宋_GB2312" w:hint="eastAsia"/>
          <w:sz w:val="32"/>
          <w:szCs w:val="32"/>
        </w:rPr>
        <w:t>65</w:t>
      </w:r>
      <w:r>
        <w:rPr>
          <w:rFonts w:ascii="仿宋_GB2312" w:eastAsia="仿宋_GB2312" w:hint="eastAsia"/>
          <w:sz w:val="32"/>
          <w:szCs w:val="32"/>
        </w:rPr>
        <w:t>人。</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从部门决算单位构成看，乌鲁木齐高新技术产业开发区（乌鲁木齐市新市区）园林队部门决算包括：乌鲁木齐高新技术产业开发区（乌鲁木齐市新市区）园林队决算。单位无下属预算单位，下设</w:t>
      </w:r>
      <w:r>
        <w:rPr>
          <w:rFonts w:ascii="仿宋_GB2312" w:eastAsia="仿宋_GB2312" w:hint="eastAsia"/>
          <w:sz w:val="32"/>
          <w:szCs w:val="32"/>
        </w:rPr>
        <w:t>4</w:t>
      </w:r>
      <w:r>
        <w:rPr>
          <w:rFonts w:ascii="仿宋_GB2312" w:eastAsia="仿宋_GB2312" w:hint="eastAsia"/>
          <w:sz w:val="32"/>
          <w:szCs w:val="32"/>
        </w:rPr>
        <w:t>个科室，分别是：综合办公室、检查科、技术科、人事劳资办公室。</w:t>
      </w:r>
    </w:p>
    <w:p w:rsidR="0036485F" w:rsidRDefault="00667E9C">
      <w:pPr>
        <w:ind w:firstLineChars="200" w:firstLine="640"/>
        <w:jc w:val="center"/>
        <w:outlineLvl w:val="0"/>
        <w:rPr>
          <w:rFonts w:ascii="黑体" w:eastAsia="黑体" w:hAnsi="黑体"/>
          <w:sz w:val="32"/>
          <w:szCs w:val="32"/>
        </w:rPr>
      </w:pPr>
      <w:bookmarkStart w:id="6" w:name="_Toc29374"/>
      <w:bookmarkStart w:id="7" w:name="_Toc3092"/>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部门决算情况说明</w:t>
      </w:r>
      <w:bookmarkEnd w:id="6"/>
      <w:bookmarkEnd w:id="7"/>
    </w:p>
    <w:p w:rsidR="0036485F" w:rsidRDefault="00667E9C">
      <w:pPr>
        <w:ind w:firstLineChars="200" w:firstLine="640"/>
        <w:outlineLvl w:val="1"/>
        <w:rPr>
          <w:rFonts w:ascii="黑体" w:eastAsia="黑体" w:hAnsi="黑体" w:cs="宋体"/>
          <w:bCs/>
          <w:kern w:val="0"/>
          <w:sz w:val="32"/>
          <w:szCs w:val="32"/>
        </w:rPr>
      </w:pPr>
      <w:bookmarkStart w:id="8" w:name="_Toc25314"/>
      <w:bookmarkStart w:id="9" w:name="_Toc12566"/>
      <w:r>
        <w:rPr>
          <w:rFonts w:ascii="黑体" w:eastAsia="黑体" w:hAnsi="黑体" w:cs="宋体" w:hint="eastAsia"/>
          <w:bCs/>
          <w:kern w:val="0"/>
          <w:sz w:val="32"/>
          <w:szCs w:val="32"/>
        </w:rPr>
        <w:t>一、收入支出决算总体情况说明</w:t>
      </w:r>
      <w:bookmarkEnd w:id="8"/>
      <w:bookmarkEnd w:id="9"/>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收入总计</w:t>
      </w:r>
      <w:r>
        <w:rPr>
          <w:rFonts w:ascii="仿宋_GB2312" w:eastAsia="仿宋_GB2312" w:hint="eastAsia"/>
          <w:sz w:val="32"/>
          <w:szCs w:val="32"/>
        </w:rPr>
        <w:t>1086.02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其中：本年收入合计</w:t>
      </w:r>
      <w:r>
        <w:rPr>
          <w:rFonts w:ascii="仿宋_GB2312" w:eastAsia="仿宋_GB2312" w:hint="eastAsia"/>
          <w:sz w:val="32"/>
          <w:szCs w:val="32"/>
        </w:rPr>
        <w:t>1080.77</w:t>
      </w:r>
      <w:r>
        <w:rPr>
          <w:rFonts w:ascii="仿宋_GB2312" w:eastAsia="仿宋_GB2312" w:hint="eastAsia"/>
          <w:sz w:val="32"/>
          <w:szCs w:val="32"/>
        </w:rPr>
        <w:t>万元</w:t>
      </w:r>
      <w:r>
        <w:rPr>
          <w:rFonts w:ascii="仿宋_GB2312" w:eastAsia="仿宋_GB2312" w:hint="eastAsia"/>
          <w:sz w:val="32"/>
          <w:szCs w:val="32"/>
        </w:rPr>
        <w:t>，使用非财政拨款结余</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，年初结转和结余</w:t>
      </w:r>
      <w:r>
        <w:rPr>
          <w:rFonts w:ascii="仿宋_GB2312" w:eastAsia="仿宋_GB2312" w:hint="eastAsia"/>
          <w:sz w:val="32"/>
          <w:szCs w:val="32"/>
        </w:rPr>
        <w:t>5.26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收入总计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357.39</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24.76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人员工资下调，基本支出预算收入减少，项目数量减少，项目预算收入减少。</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本年支出</w:t>
      </w:r>
      <w:r>
        <w:rPr>
          <w:rFonts w:ascii="仿宋_GB2312" w:eastAsia="仿宋_GB2312" w:hint="eastAsia"/>
          <w:sz w:val="32"/>
          <w:szCs w:val="32"/>
        </w:rPr>
        <w:t>总计</w:t>
      </w:r>
      <w:r>
        <w:rPr>
          <w:rFonts w:ascii="仿宋_GB2312" w:eastAsia="仿宋_GB2312" w:hint="eastAsia"/>
          <w:sz w:val="32"/>
          <w:szCs w:val="32"/>
        </w:rPr>
        <w:t>1086.02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其中：本年支出合计</w:t>
      </w:r>
      <w:r>
        <w:rPr>
          <w:rFonts w:ascii="仿宋_GB2312" w:eastAsia="仿宋_GB2312" w:hint="eastAsia"/>
          <w:sz w:val="32"/>
          <w:szCs w:val="32"/>
        </w:rPr>
        <w:t>1074.15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结余分配</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，年末结转和结余</w:t>
      </w:r>
      <w:r>
        <w:rPr>
          <w:rFonts w:ascii="仿宋_GB2312" w:eastAsia="仿宋_GB2312" w:hint="eastAsia"/>
          <w:sz w:val="32"/>
          <w:szCs w:val="32"/>
        </w:rPr>
        <w:t>11.87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357.39</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24.76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人员工资下调，基本支出减少，项目数减少，项目支出减少。</w:t>
      </w:r>
    </w:p>
    <w:p w:rsidR="0036485F" w:rsidRDefault="00667E9C">
      <w:pPr>
        <w:ind w:firstLineChars="200" w:firstLine="640"/>
        <w:outlineLvl w:val="1"/>
        <w:rPr>
          <w:rFonts w:ascii="黑体" w:eastAsia="黑体" w:hAnsi="黑体" w:cs="宋体"/>
          <w:bCs/>
          <w:kern w:val="0"/>
          <w:sz w:val="32"/>
          <w:szCs w:val="32"/>
        </w:rPr>
      </w:pPr>
      <w:bookmarkStart w:id="10" w:name="_Toc1979"/>
      <w:bookmarkStart w:id="11" w:name="_Toc12142"/>
      <w:r>
        <w:rPr>
          <w:rFonts w:ascii="黑体" w:eastAsia="黑体" w:hAnsi="黑体" w:cs="宋体" w:hint="eastAsia"/>
          <w:bCs/>
          <w:kern w:val="0"/>
          <w:sz w:val="32"/>
          <w:szCs w:val="32"/>
        </w:rPr>
        <w:t>二、</w:t>
      </w:r>
      <w:r>
        <w:rPr>
          <w:rFonts w:ascii="黑体" w:eastAsia="黑体" w:hAnsi="黑体" w:cs="宋体" w:hint="eastAsia"/>
          <w:bCs/>
          <w:kern w:val="0"/>
          <w:sz w:val="32"/>
          <w:szCs w:val="32"/>
        </w:rPr>
        <w:t>收入</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情况说明</w:t>
      </w:r>
      <w:bookmarkEnd w:id="10"/>
      <w:bookmarkEnd w:id="11"/>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lastRenderedPageBreak/>
        <w:t>2022</w:t>
      </w:r>
      <w:r>
        <w:rPr>
          <w:rFonts w:ascii="仿宋_GB2312" w:eastAsia="仿宋_GB2312" w:hint="eastAsia"/>
          <w:sz w:val="32"/>
          <w:szCs w:val="32"/>
        </w:rPr>
        <w:t>年度</w:t>
      </w:r>
      <w:r>
        <w:rPr>
          <w:rFonts w:ascii="仿宋_GB2312" w:eastAsia="仿宋_GB2312" w:hint="eastAsia"/>
          <w:sz w:val="32"/>
          <w:szCs w:val="32"/>
        </w:rPr>
        <w:t>本年收入</w:t>
      </w:r>
      <w:r>
        <w:rPr>
          <w:rFonts w:ascii="仿宋_GB2312" w:eastAsia="仿宋_GB2312" w:hint="eastAsia"/>
          <w:sz w:val="32"/>
          <w:szCs w:val="32"/>
        </w:rPr>
        <w:t>1080.77</w:t>
      </w:r>
      <w:r>
        <w:rPr>
          <w:rFonts w:ascii="仿宋_GB2312" w:eastAsia="仿宋_GB2312" w:hint="eastAsia"/>
          <w:sz w:val="32"/>
          <w:szCs w:val="32"/>
        </w:rPr>
        <w:t>万元，其中：财政拨款收入</w:t>
      </w:r>
      <w:r>
        <w:rPr>
          <w:rFonts w:ascii="仿宋_GB2312" w:eastAsia="仿宋_GB2312" w:hint="eastAsia"/>
          <w:sz w:val="32"/>
          <w:szCs w:val="32"/>
        </w:rPr>
        <w:t>1080.77</w:t>
      </w:r>
      <w:r>
        <w:rPr>
          <w:rFonts w:ascii="仿宋_GB2312" w:eastAsia="仿宋_GB2312" w:hint="eastAsia"/>
          <w:sz w:val="32"/>
          <w:szCs w:val="32"/>
        </w:rPr>
        <w:t>万元，占</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；上级补助收入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；事业收入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；经营收入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附属单位上缴收入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；其他收入</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36485F" w:rsidRDefault="00667E9C">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本年支出</w:t>
      </w:r>
      <w:r>
        <w:rPr>
          <w:rFonts w:ascii="仿宋_GB2312" w:eastAsia="仿宋_GB2312" w:hint="eastAsia"/>
          <w:sz w:val="32"/>
          <w:szCs w:val="32"/>
        </w:rPr>
        <w:t>1074.15</w:t>
      </w:r>
      <w:r>
        <w:rPr>
          <w:rFonts w:ascii="仿宋_GB2312" w:eastAsia="仿宋_GB2312" w:hint="eastAsia"/>
          <w:sz w:val="32"/>
          <w:szCs w:val="32"/>
        </w:rPr>
        <w:t>万元，其中：基本支出</w:t>
      </w:r>
      <w:r>
        <w:rPr>
          <w:rFonts w:ascii="仿宋_GB2312" w:eastAsia="仿宋_GB2312" w:hint="eastAsia"/>
          <w:sz w:val="32"/>
          <w:szCs w:val="32"/>
        </w:rPr>
        <w:t>1012.08</w:t>
      </w:r>
      <w:r>
        <w:rPr>
          <w:rFonts w:ascii="仿宋_GB2312" w:eastAsia="仿宋_GB2312" w:hint="eastAsia"/>
          <w:sz w:val="32"/>
          <w:szCs w:val="32"/>
        </w:rPr>
        <w:t>万元，占</w:t>
      </w:r>
      <w:r>
        <w:rPr>
          <w:rFonts w:ascii="仿宋_GB2312" w:eastAsia="仿宋_GB2312" w:hint="eastAsia"/>
          <w:sz w:val="32"/>
          <w:szCs w:val="32"/>
        </w:rPr>
        <w:t>94.22</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62.07</w:t>
      </w:r>
      <w:r>
        <w:rPr>
          <w:rFonts w:ascii="仿宋_GB2312" w:eastAsia="仿宋_GB2312" w:hint="eastAsia"/>
          <w:sz w:val="32"/>
          <w:szCs w:val="32"/>
        </w:rPr>
        <w:t>万元，占</w:t>
      </w:r>
      <w:r>
        <w:rPr>
          <w:rFonts w:ascii="仿宋_GB2312" w:eastAsia="仿宋_GB2312" w:hint="eastAsia"/>
          <w:sz w:val="32"/>
          <w:szCs w:val="32"/>
        </w:rPr>
        <w:t>5.78</w:t>
      </w:r>
      <w:r>
        <w:rPr>
          <w:rFonts w:ascii="仿宋_GB2312" w:eastAsia="仿宋_GB2312" w:hint="eastAsia"/>
          <w:sz w:val="32"/>
          <w:szCs w:val="32"/>
        </w:rPr>
        <w:t>%</w:t>
      </w:r>
      <w:r>
        <w:rPr>
          <w:rFonts w:ascii="仿宋_GB2312" w:eastAsia="仿宋_GB2312" w:hint="eastAsia"/>
          <w:sz w:val="32"/>
          <w:szCs w:val="32"/>
        </w:rPr>
        <w:t>；上缴上级支出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；经营支出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；对附属单位补助支出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36485F" w:rsidRDefault="00667E9C">
      <w:pPr>
        <w:ind w:firstLineChars="200" w:firstLine="640"/>
        <w:outlineLvl w:val="1"/>
        <w:rPr>
          <w:rFonts w:ascii="黑体" w:eastAsia="黑体" w:hAnsi="黑体" w:cs="宋体"/>
          <w:bCs/>
          <w:kern w:val="0"/>
          <w:sz w:val="32"/>
          <w:szCs w:val="32"/>
        </w:rPr>
      </w:pPr>
      <w:bookmarkStart w:id="14" w:name="_Toc26564"/>
      <w:bookmarkStart w:id="15" w:name="_Toc4393"/>
      <w:r>
        <w:rPr>
          <w:rFonts w:ascii="黑体" w:eastAsia="黑体" w:hAnsi="黑体" w:cs="宋体" w:hint="eastAsia"/>
          <w:bCs/>
          <w:kern w:val="0"/>
          <w:sz w:val="32"/>
          <w:szCs w:val="32"/>
        </w:rPr>
        <w:t>四、财政拨款收入支出决算总体情况说明</w:t>
      </w:r>
      <w:bookmarkEnd w:id="14"/>
      <w:bookmarkEnd w:id="15"/>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1086.02</w:t>
      </w:r>
      <w:r>
        <w:rPr>
          <w:rFonts w:ascii="仿宋_GB2312" w:eastAsia="仿宋_GB2312" w:hint="eastAsia"/>
          <w:sz w:val="32"/>
          <w:szCs w:val="32"/>
        </w:rPr>
        <w:t>万元，</w:t>
      </w:r>
      <w:r>
        <w:rPr>
          <w:rFonts w:ascii="仿宋_GB2312" w:eastAsia="仿宋_GB2312" w:hint="eastAsia"/>
          <w:sz w:val="32"/>
          <w:szCs w:val="32"/>
        </w:rPr>
        <w:t>其中：年初财政拨款结转和结余</w:t>
      </w:r>
      <w:r>
        <w:rPr>
          <w:rFonts w:ascii="仿宋_GB2312" w:eastAsia="仿宋_GB2312" w:hint="eastAsia"/>
          <w:sz w:val="32"/>
          <w:szCs w:val="32"/>
        </w:rPr>
        <w:t>5.26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财政拨款本年收入</w:t>
      </w:r>
      <w:r>
        <w:rPr>
          <w:rFonts w:ascii="仿宋_GB2312" w:eastAsia="仿宋_GB2312" w:hint="eastAsia"/>
          <w:sz w:val="32"/>
          <w:szCs w:val="32"/>
        </w:rPr>
        <w:t>1080.77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与上年相比，减少</w:t>
      </w:r>
      <w:r>
        <w:rPr>
          <w:rFonts w:ascii="仿宋_GB2312" w:eastAsia="仿宋_GB2312" w:hint="eastAsia"/>
          <w:sz w:val="32"/>
          <w:szCs w:val="32"/>
        </w:rPr>
        <w:t>357.39</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24.76</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人员工资下调，基本支出预算收入减少，项目数量减少，项目预算收入减少。</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1086.02</w:t>
      </w:r>
      <w:r>
        <w:rPr>
          <w:rFonts w:ascii="仿宋_GB2312" w:eastAsia="仿宋_GB2312" w:hint="eastAsia"/>
          <w:sz w:val="32"/>
          <w:szCs w:val="32"/>
        </w:rPr>
        <w:t>万元，</w:t>
      </w:r>
      <w:r>
        <w:rPr>
          <w:rFonts w:ascii="仿宋_GB2312" w:eastAsia="仿宋_GB2312" w:hint="eastAsia"/>
          <w:sz w:val="32"/>
          <w:szCs w:val="32"/>
        </w:rPr>
        <w:t>其中：年末财政拨款结转和结余</w:t>
      </w:r>
      <w:r>
        <w:rPr>
          <w:rFonts w:ascii="仿宋_GB2312" w:eastAsia="仿宋_GB2312" w:hint="eastAsia"/>
          <w:sz w:val="32"/>
          <w:szCs w:val="32"/>
        </w:rPr>
        <w:t>11.87</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财政拨款本年支出</w:t>
      </w:r>
      <w:r>
        <w:rPr>
          <w:rFonts w:ascii="仿宋_GB2312" w:eastAsia="仿宋_GB2312" w:hint="eastAsia"/>
          <w:sz w:val="32"/>
          <w:szCs w:val="32"/>
        </w:rPr>
        <w:t>1074.15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w:t>
      </w:r>
      <w:r>
        <w:rPr>
          <w:rFonts w:ascii="仿宋_GB2312" w:eastAsia="仿宋_GB2312" w:hint="eastAsia"/>
          <w:sz w:val="32"/>
          <w:szCs w:val="32"/>
        </w:rPr>
        <w:t>支出总计</w:t>
      </w:r>
      <w:r>
        <w:rPr>
          <w:rFonts w:ascii="仿宋_GB2312" w:eastAsia="仿宋_GB2312" w:hint="eastAsia"/>
          <w:sz w:val="32"/>
          <w:szCs w:val="32"/>
        </w:rPr>
        <w:t>与上年相比，减少</w:t>
      </w:r>
      <w:r>
        <w:rPr>
          <w:rFonts w:ascii="仿宋_GB2312" w:eastAsia="仿宋_GB2312" w:hint="eastAsia"/>
          <w:sz w:val="32"/>
          <w:szCs w:val="32"/>
        </w:rPr>
        <w:t>357.39</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24.76</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人员工资下调，基本支出减少，项目数减少，项目支出减少。</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年初预</w:t>
      </w:r>
      <w:r>
        <w:rPr>
          <w:rFonts w:ascii="仿宋_GB2312" w:eastAsia="仿宋_GB2312" w:hint="eastAsia"/>
          <w:sz w:val="32"/>
          <w:szCs w:val="32"/>
        </w:rPr>
        <w:t>算数</w:t>
      </w:r>
      <w:r>
        <w:rPr>
          <w:rFonts w:ascii="仿宋_GB2312" w:eastAsia="仿宋_GB2312" w:hint="eastAsia"/>
          <w:sz w:val="32"/>
          <w:szCs w:val="32"/>
        </w:rPr>
        <w:t>相比情况：财政拨款收入</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1060.62</w:t>
      </w:r>
      <w:r>
        <w:rPr>
          <w:rFonts w:ascii="仿宋_GB2312" w:eastAsia="仿宋_GB2312" w:hint="eastAsia"/>
          <w:sz w:val="32"/>
          <w:szCs w:val="32"/>
        </w:rPr>
        <w:t>万元，决算数</w:t>
      </w:r>
      <w:r>
        <w:rPr>
          <w:rFonts w:ascii="仿宋_GB2312" w:eastAsia="仿宋_GB2312" w:hint="eastAsia"/>
          <w:sz w:val="32"/>
          <w:szCs w:val="32"/>
        </w:rPr>
        <w:t>1086.02</w:t>
      </w:r>
      <w:r>
        <w:rPr>
          <w:rFonts w:ascii="仿宋_GB2312" w:eastAsia="仿宋_GB2312" w:hint="eastAsia"/>
          <w:sz w:val="32"/>
          <w:szCs w:val="32"/>
        </w:rPr>
        <w:t>万元，预决算差异率</w:t>
      </w:r>
      <w:r>
        <w:rPr>
          <w:rFonts w:ascii="仿宋_GB2312" w:eastAsia="仿宋_GB2312" w:hint="eastAsia"/>
          <w:sz w:val="32"/>
          <w:szCs w:val="32"/>
        </w:rPr>
        <w:t>2.39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主要原因是：决算数增加了项目拨款收入</w:t>
      </w: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1060.62</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决算数</w:t>
      </w:r>
      <w:r>
        <w:rPr>
          <w:rFonts w:ascii="仿宋_GB2312" w:eastAsia="仿宋_GB2312" w:hint="eastAsia"/>
          <w:sz w:val="32"/>
          <w:szCs w:val="32"/>
        </w:rPr>
        <w:t>1086.02</w:t>
      </w:r>
      <w:r>
        <w:rPr>
          <w:rFonts w:ascii="仿宋_GB2312" w:eastAsia="仿宋_GB2312" w:hint="eastAsia"/>
          <w:sz w:val="32"/>
          <w:szCs w:val="32"/>
        </w:rPr>
        <w:t>万元，预决算差异率</w:t>
      </w:r>
      <w:r>
        <w:rPr>
          <w:rFonts w:ascii="仿宋_GB2312" w:eastAsia="仿宋_GB2312" w:hint="eastAsia"/>
          <w:sz w:val="32"/>
          <w:szCs w:val="32"/>
        </w:rPr>
        <w:t>2.39</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主要原因是：决算数增加了项目拨款支出</w:t>
      </w:r>
      <w:r>
        <w:rPr>
          <w:rFonts w:ascii="仿宋_GB2312" w:eastAsia="仿宋_GB2312" w:hint="eastAsia"/>
          <w:sz w:val="32"/>
          <w:szCs w:val="32"/>
        </w:rPr>
        <w:t>。</w:t>
      </w:r>
    </w:p>
    <w:p w:rsidR="0036485F" w:rsidRDefault="00667E9C">
      <w:pPr>
        <w:ind w:firstLineChars="200" w:firstLine="640"/>
        <w:outlineLvl w:val="1"/>
        <w:rPr>
          <w:rFonts w:ascii="黑体" w:eastAsia="黑体" w:hAnsi="黑体" w:cs="宋体"/>
          <w:bCs/>
          <w:kern w:val="0"/>
          <w:sz w:val="32"/>
          <w:szCs w:val="32"/>
        </w:rPr>
      </w:pPr>
      <w:bookmarkStart w:id="16" w:name="_Toc20360"/>
      <w:bookmarkStart w:id="17" w:name="_Toc13833"/>
      <w:r>
        <w:rPr>
          <w:rFonts w:ascii="黑体" w:eastAsia="黑体" w:hAnsi="黑体" w:cs="宋体" w:hint="eastAsia"/>
          <w:bCs/>
          <w:kern w:val="0"/>
          <w:sz w:val="32"/>
          <w:szCs w:val="32"/>
        </w:rPr>
        <w:t>五、一般公共预算财政拨款支出决算情况说明</w:t>
      </w:r>
      <w:bookmarkEnd w:id="16"/>
      <w:bookmarkEnd w:id="17"/>
    </w:p>
    <w:p w:rsidR="0036485F" w:rsidRDefault="00667E9C">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年度一般公共预算财政拨款支出</w:t>
      </w:r>
      <w:r>
        <w:rPr>
          <w:rFonts w:ascii="仿宋_GB2312" w:eastAsia="仿宋_GB2312" w:hint="eastAsia"/>
          <w:sz w:val="32"/>
          <w:szCs w:val="32"/>
        </w:rPr>
        <w:t>1074.15</w:t>
      </w:r>
      <w:r>
        <w:rPr>
          <w:rFonts w:ascii="仿宋_GB2312" w:eastAsia="仿宋_GB2312" w:hint="eastAsia"/>
          <w:sz w:val="32"/>
          <w:szCs w:val="32"/>
        </w:rPr>
        <w:t>万元，占本年支出合计的</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与上年相比，减少</w:t>
      </w:r>
      <w:r>
        <w:rPr>
          <w:rFonts w:ascii="仿宋_GB2312" w:eastAsia="仿宋_GB2312" w:hint="eastAsia"/>
          <w:sz w:val="32"/>
          <w:szCs w:val="32"/>
        </w:rPr>
        <w:t>364.01</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25.31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人员工资下调，基本支出减少，项目数减少，项目支出减少。</w:t>
      </w:r>
    </w:p>
    <w:p w:rsidR="0036485F" w:rsidRDefault="00667E9C">
      <w:pPr>
        <w:ind w:firstLineChars="200" w:firstLine="640"/>
        <w:outlineLvl w:val="2"/>
        <w:rPr>
          <w:rFonts w:ascii="黑体" w:eastAsia="黑体" w:hAnsi="黑体"/>
          <w:sz w:val="32"/>
          <w:szCs w:val="32"/>
        </w:rPr>
      </w:pPr>
      <w:r>
        <w:rPr>
          <w:rFonts w:ascii="黑体" w:eastAsia="黑体" w:hAnsi="黑体" w:hint="eastAsia"/>
          <w:sz w:val="32"/>
          <w:szCs w:val="32"/>
        </w:rPr>
        <w:lastRenderedPageBreak/>
        <w:t>（二）一般公共预算</w:t>
      </w:r>
      <w:r>
        <w:rPr>
          <w:rFonts w:ascii="黑体" w:eastAsia="黑体" w:hAnsi="黑体" w:hint="eastAsia"/>
          <w:sz w:val="32"/>
          <w:szCs w:val="32"/>
        </w:rPr>
        <w:t>财政拨款支出决算</w:t>
      </w:r>
      <w:r>
        <w:rPr>
          <w:rFonts w:ascii="黑体" w:eastAsia="黑体" w:hAnsi="黑体" w:hint="eastAsia"/>
          <w:sz w:val="32"/>
          <w:szCs w:val="32"/>
        </w:rPr>
        <w:t>结构情况</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社会保障和就业支出（类）：</w:t>
      </w:r>
      <w:r>
        <w:rPr>
          <w:rFonts w:ascii="仿宋_GB2312" w:eastAsia="仿宋_GB2312" w:hint="eastAsia"/>
          <w:sz w:val="32"/>
          <w:szCs w:val="32"/>
        </w:rPr>
        <w:t>69.66</w:t>
      </w:r>
      <w:r>
        <w:rPr>
          <w:rFonts w:ascii="仿宋_GB2312" w:eastAsia="仿宋_GB2312" w:hint="eastAsia"/>
          <w:sz w:val="32"/>
          <w:szCs w:val="32"/>
        </w:rPr>
        <w:t>万元，占</w:t>
      </w:r>
      <w:r>
        <w:rPr>
          <w:rFonts w:ascii="仿宋_GB2312" w:eastAsia="仿宋_GB2312" w:hint="eastAsia"/>
          <w:sz w:val="32"/>
          <w:szCs w:val="32"/>
        </w:rPr>
        <w:t>6.49</w:t>
      </w:r>
      <w:r>
        <w:rPr>
          <w:rFonts w:ascii="仿宋_GB2312" w:eastAsia="仿宋_GB2312" w:hint="eastAsia"/>
          <w:sz w:val="32"/>
          <w:szCs w:val="32"/>
        </w:rPr>
        <w:t>%</w:t>
      </w:r>
      <w:r>
        <w:rPr>
          <w:rFonts w:ascii="仿宋_GB2312" w:eastAsia="仿宋_GB2312" w:hint="eastAsia"/>
          <w:sz w:val="32"/>
          <w:szCs w:val="32"/>
        </w:rPr>
        <w:t>。</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_GB2312" w:cs="仿宋_GB2312" w:hint="eastAsia"/>
          <w:sz w:val="32"/>
          <w:szCs w:val="32"/>
        </w:rPr>
        <w:t>城乡社区支出（</w:t>
      </w:r>
      <w:r>
        <w:rPr>
          <w:rFonts w:ascii="仿宋_GB2312" w:eastAsia="仿宋_GB2312" w:hint="eastAsia"/>
          <w:sz w:val="32"/>
          <w:szCs w:val="32"/>
        </w:rPr>
        <w:t>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int="eastAsia"/>
          <w:sz w:val="32"/>
          <w:szCs w:val="32"/>
        </w:rPr>
        <w:t>1004.49</w:t>
      </w:r>
      <w:r>
        <w:rPr>
          <w:rFonts w:ascii="仿宋_GB2312" w:eastAsia="仿宋_GB2312" w:hint="eastAsia"/>
          <w:sz w:val="32"/>
          <w:szCs w:val="32"/>
        </w:rPr>
        <w:t>万元，占</w:t>
      </w:r>
      <w:r>
        <w:rPr>
          <w:rFonts w:ascii="仿宋_GB2312" w:eastAsia="仿宋_GB2312" w:hint="eastAsia"/>
          <w:sz w:val="32"/>
          <w:szCs w:val="32"/>
        </w:rPr>
        <w:t>93.51</w:t>
      </w:r>
      <w:r>
        <w:rPr>
          <w:rFonts w:ascii="仿宋_GB2312" w:eastAsia="仿宋_GB2312" w:hint="eastAsia"/>
          <w:sz w:val="32"/>
          <w:szCs w:val="32"/>
        </w:rPr>
        <w:t>%</w:t>
      </w:r>
      <w:r>
        <w:rPr>
          <w:rFonts w:ascii="仿宋_GB2312" w:eastAsia="仿宋_GB2312" w:hint="eastAsia"/>
          <w:sz w:val="32"/>
          <w:szCs w:val="32"/>
        </w:rPr>
        <w:t>。</w:t>
      </w:r>
    </w:p>
    <w:p w:rsidR="0036485F" w:rsidRDefault="00667E9C">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36485F" w:rsidRDefault="00667E9C">
      <w:pPr>
        <w:shd w:val="clear" w:color="auto" w:fill="FFFFFF"/>
        <w:autoSpaceDE w:val="0"/>
        <w:autoSpaceDN w:val="0"/>
        <w:adjustRightInd w:val="0"/>
        <w:spacing w:line="360" w:lineRule="auto"/>
        <w:ind w:firstLine="640"/>
        <w:rPr>
          <w:rFonts w:ascii="仿宋_GB2312" w:eastAsia="仿宋_GB2312" w:hAnsi="仿宋_GB2312" w:cs="仿宋_GB2312"/>
          <w:sz w:val="32"/>
          <w:szCs w:val="32"/>
        </w:rPr>
      </w:pPr>
      <w:r>
        <w:rPr>
          <w:rFonts w:ascii="仿宋_GB2312" w:eastAsia="仿宋_GB2312" w:hint="eastAsia"/>
          <w:sz w:val="32"/>
        </w:rPr>
        <w:t>1.</w:t>
      </w:r>
      <w:r>
        <w:rPr>
          <w:rFonts w:ascii="仿宋_GB2312" w:eastAsia="仿宋_GB2312" w:hint="eastAsia"/>
          <w:sz w:val="32"/>
        </w:rPr>
        <w:t>公共安全支出</w:t>
      </w:r>
      <w:r>
        <w:rPr>
          <w:rFonts w:ascii="仿宋_GB2312" w:eastAsia="仿宋_GB2312" w:hint="eastAsia"/>
          <w:sz w:val="32"/>
        </w:rPr>
        <w:t>（类）其他公共安全支出（款）</w:t>
      </w:r>
      <w:r>
        <w:rPr>
          <w:rFonts w:ascii="仿宋_GB2312" w:eastAsia="仿宋_GB2312" w:hint="eastAsia"/>
          <w:sz w:val="32"/>
        </w:rPr>
        <w:t>其他公共安全支出</w:t>
      </w:r>
      <w:r>
        <w:rPr>
          <w:rFonts w:ascii="仿宋_GB2312" w:eastAsia="仿宋_GB2312" w:hint="eastAsia"/>
          <w:sz w:val="32"/>
        </w:rPr>
        <w:t>（项</w:t>
      </w:r>
      <w:r>
        <w:rPr>
          <w:rFonts w:ascii="仿宋_GB2312" w:eastAsia="仿宋_GB2312" w:hint="eastAsia"/>
          <w:sz w:val="32"/>
        </w:rPr>
        <w:t>）</w:t>
      </w:r>
      <w:r>
        <w:rPr>
          <w:rFonts w:ascii="仿宋_GB2312" w:eastAsia="仿宋_GB2312" w:hint="eastAsia"/>
          <w:sz w:val="32"/>
        </w:rPr>
        <w:t>:</w:t>
      </w:r>
      <w:r>
        <w:rPr>
          <w:rFonts w:ascii="仿宋_GB2312" w:eastAsia="仿宋_GB2312" w:cs="仿宋_GB2312" w:hint="eastAsia"/>
          <w:kern w:val="0"/>
          <w:sz w:val="32"/>
          <w:szCs w:val="32"/>
        </w:rPr>
        <w:t>支出决算数为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79.41</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，主要原因是：本年单位无此项支出。</w:t>
      </w:r>
    </w:p>
    <w:p w:rsidR="0036485F" w:rsidRDefault="00667E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社会保障和就业支出（</w:t>
      </w:r>
      <w:r>
        <w:rPr>
          <w:rFonts w:ascii="仿宋_GB2312" w:eastAsia="仿宋_GB2312" w:hint="eastAsia"/>
          <w:sz w:val="32"/>
          <w:szCs w:val="32"/>
        </w:rPr>
        <w:t>类</w:t>
      </w:r>
      <w:r>
        <w:rPr>
          <w:rFonts w:ascii="仿宋_GB2312" w:eastAsia="仿宋_GB2312" w:hAnsi="仿宋_GB2312" w:cs="仿宋_GB2312" w:hint="eastAsia"/>
          <w:sz w:val="32"/>
          <w:szCs w:val="32"/>
        </w:rPr>
        <w:t>）行政事业单位养老支出</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机关事业单位基本养老保险缴费支出（</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支出决算数</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69.66</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3.68</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5.02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工资基数下调，机关事业单位基本养老保险缴费支出减少。</w:t>
      </w:r>
    </w:p>
    <w:p w:rsidR="0036485F" w:rsidRDefault="00667E9C">
      <w:pPr>
        <w:shd w:val="clear" w:color="auto" w:fill="FFFFFF"/>
        <w:autoSpaceDE w:val="0"/>
        <w:autoSpaceDN w:val="0"/>
        <w:adjustRightInd w:val="0"/>
        <w:spacing w:line="360" w:lineRule="auto"/>
        <w:ind w:firstLine="640"/>
        <w:rPr>
          <w:rFonts w:ascii="仿宋_GB2312" w:eastAsia="仿宋_GB2312" w:hAnsi="仿宋_GB2312" w:cs="仿宋_GB2312"/>
          <w:sz w:val="32"/>
          <w:szCs w:val="32"/>
        </w:rPr>
      </w:pPr>
      <w:r>
        <w:rPr>
          <w:rFonts w:ascii="仿宋_GB2312" w:eastAsia="仿宋_GB2312" w:hAnsi="仿宋_GB2312" w:hint="eastAsia"/>
          <w:kern w:val="0"/>
          <w:sz w:val="32"/>
        </w:rPr>
        <w:t>3.</w:t>
      </w:r>
      <w:r>
        <w:rPr>
          <w:rFonts w:ascii="仿宋_GB2312" w:eastAsia="仿宋_GB2312" w:hAnsi="仿宋_GB2312" w:hint="eastAsia"/>
          <w:kern w:val="0"/>
          <w:sz w:val="32"/>
        </w:rPr>
        <w:t>社会保障和就业支出</w:t>
      </w:r>
      <w:r>
        <w:rPr>
          <w:rFonts w:ascii="仿宋_GB2312" w:eastAsia="仿宋_GB2312" w:hAnsi="仿宋_GB2312" w:hint="eastAsia"/>
          <w:kern w:val="0"/>
          <w:sz w:val="32"/>
        </w:rPr>
        <w:t>（类）行政事业单位养老支出（款）机关事业单位职业年金缴费支出</w:t>
      </w:r>
      <w:r>
        <w:rPr>
          <w:rFonts w:ascii="仿宋_GB2312" w:eastAsia="仿宋_GB2312" w:hAnsi="仿宋_GB2312" w:hint="eastAsia"/>
          <w:sz w:val="32"/>
        </w:rPr>
        <w:t>（</w:t>
      </w:r>
      <w:r>
        <w:rPr>
          <w:rFonts w:ascii="仿宋_GB2312" w:eastAsia="仿宋_GB2312" w:hAnsi="仿宋_GB2312" w:hint="eastAsia"/>
          <w:sz w:val="32"/>
        </w:rPr>
        <w:t>项</w:t>
      </w:r>
      <w:r>
        <w:rPr>
          <w:rFonts w:ascii="仿宋_GB2312" w:eastAsia="仿宋_GB2312" w:hAnsi="仿宋_GB2312" w:hint="eastAsia"/>
          <w:sz w:val="32"/>
        </w:rPr>
        <w:t>）</w:t>
      </w:r>
      <w:r>
        <w:rPr>
          <w:rFonts w:ascii="仿宋_GB2312" w:eastAsia="仿宋_GB2312" w:hAnsi="仿宋_GB2312" w:hint="eastAsia"/>
          <w:kern w:val="0"/>
          <w:sz w:val="32"/>
        </w:rPr>
        <w:t>：</w:t>
      </w:r>
      <w:r>
        <w:rPr>
          <w:rFonts w:ascii="仿宋_GB2312" w:eastAsia="仿宋_GB2312" w:cs="仿宋_GB2312" w:hint="eastAsia"/>
          <w:kern w:val="0"/>
          <w:sz w:val="32"/>
          <w:szCs w:val="32"/>
        </w:rPr>
        <w:t>支出决算数为</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cs="仿宋_GB2312" w:hint="eastAsia"/>
          <w:kern w:val="0"/>
          <w:sz w:val="32"/>
          <w:szCs w:val="32"/>
        </w:rPr>
        <w:t>比上年减少</w:t>
      </w:r>
      <w:r>
        <w:rPr>
          <w:rFonts w:ascii="仿宋_GB2312" w:eastAsia="仿宋_GB2312" w:cs="仿宋_GB2312" w:hint="eastAsia"/>
          <w:kern w:val="0"/>
          <w:sz w:val="32"/>
          <w:szCs w:val="32"/>
        </w:rPr>
        <w:t>10.61</w:t>
      </w:r>
      <w:r>
        <w:rPr>
          <w:rFonts w:ascii="仿宋_GB2312" w:eastAsia="仿宋_GB2312" w:cs="仿宋_GB2312" w:hint="eastAsia"/>
          <w:kern w:val="0"/>
          <w:sz w:val="32"/>
          <w:szCs w:val="32"/>
        </w:rPr>
        <w:t>万元，下降</w:t>
      </w:r>
      <w:r>
        <w:rPr>
          <w:rFonts w:ascii="仿宋_GB2312" w:eastAsia="仿宋_GB2312" w:cs="仿宋_GB2312" w:hint="eastAsia"/>
          <w:kern w:val="0"/>
          <w:sz w:val="32"/>
          <w:szCs w:val="32"/>
        </w:rPr>
        <w:t>100%</w:t>
      </w:r>
      <w:r>
        <w:rPr>
          <w:rFonts w:ascii="仿宋_GB2312" w:eastAsia="仿宋_GB2312" w:cs="仿宋_GB2312" w:hint="eastAsia"/>
          <w:kern w:val="0"/>
          <w:sz w:val="32"/>
          <w:szCs w:val="32"/>
        </w:rPr>
        <w:t>，主要原因是：本年单位无此项支出。</w:t>
      </w:r>
    </w:p>
    <w:p w:rsidR="0036485F" w:rsidRDefault="00667E9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城乡社区支出（</w:t>
      </w:r>
      <w:r>
        <w:rPr>
          <w:rFonts w:ascii="仿宋_GB2312" w:eastAsia="仿宋_GB2312" w:hint="eastAsia"/>
          <w:sz w:val="32"/>
          <w:szCs w:val="32"/>
        </w:rPr>
        <w:t>类</w:t>
      </w:r>
      <w:r>
        <w:rPr>
          <w:rFonts w:ascii="仿宋_GB2312" w:eastAsia="仿宋_GB2312" w:hAnsi="仿宋_GB2312" w:cs="仿宋_GB2312" w:hint="eastAsia"/>
          <w:sz w:val="32"/>
          <w:szCs w:val="32"/>
        </w:rPr>
        <w:t>）城乡社区环境卫生</w:t>
      </w:r>
      <w:r>
        <w:rPr>
          <w:rFonts w:ascii="仿宋_GB2312" w:eastAsia="仿宋_GB2312" w:hAnsi="仿宋_GB2312" w:cs="仿宋_GB2312" w:hint="eastAsia"/>
          <w:sz w:val="32"/>
          <w:szCs w:val="32"/>
        </w:rPr>
        <w:t>（款）</w:t>
      </w:r>
      <w:r>
        <w:rPr>
          <w:rFonts w:ascii="仿宋_GB2312" w:eastAsia="仿宋_GB2312" w:hAnsi="仿宋_GB2312" w:cs="仿宋_GB2312" w:hint="eastAsia"/>
          <w:sz w:val="32"/>
          <w:szCs w:val="32"/>
        </w:rPr>
        <w:t>城乡社区环境卫生（</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支出决算数</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1004.49</w:t>
      </w:r>
      <w:r>
        <w:rPr>
          <w:rFonts w:ascii="仿宋_GB2312" w:eastAsia="仿宋_GB2312" w:hAnsi="仿宋_GB2312" w:cs="仿宋_GB2312" w:hint="eastAsia"/>
          <w:sz w:val="32"/>
          <w:szCs w:val="32"/>
        </w:rPr>
        <w:t>万元，比上年</w:t>
      </w:r>
      <w:r>
        <w:rPr>
          <w:rFonts w:ascii="仿宋_GB2312" w:eastAsia="仿宋_GB2312" w:hAnsi="仿宋_GB2312" w:cs="仿宋_GB2312" w:hint="eastAsia"/>
          <w:sz w:val="32"/>
          <w:szCs w:val="32"/>
        </w:rPr>
        <w:t>决算</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270.31</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21.20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项目支出减少。</w:t>
      </w:r>
    </w:p>
    <w:p w:rsidR="0036485F" w:rsidRDefault="00667E9C">
      <w:pPr>
        <w:ind w:firstLineChars="200" w:firstLine="640"/>
        <w:outlineLvl w:val="1"/>
        <w:rPr>
          <w:rFonts w:ascii="黑体" w:eastAsia="黑体" w:hAnsi="黑体" w:cs="宋体"/>
          <w:bCs/>
          <w:kern w:val="0"/>
          <w:sz w:val="32"/>
          <w:szCs w:val="32"/>
        </w:rPr>
      </w:pPr>
      <w:bookmarkStart w:id="18" w:name="_Toc30870"/>
      <w:bookmarkStart w:id="19" w:name="_Toc11146"/>
      <w:r>
        <w:rPr>
          <w:rFonts w:ascii="黑体" w:eastAsia="黑体" w:hAnsi="黑体" w:cs="宋体" w:hint="eastAsia"/>
          <w:bCs/>
          <w:kern w:val="0"/>
          <w:sz w:val="32"/>
          <w:szCs w:val="32"/>
        </w:rPr>
        <w:t>六、一般公共预算财政拨款基本支出决算情况说明</w:t>
      </w:r>
      <w:bookmarkEnd w:id="18"/>
      <w:bookmarkEnd w:id="19"/>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一般公共预算财政拨款基本支出</w:t>
      </w:r>
      <w:r>
        <w:rPr>
          <w:rFonts w:ascii="仿宋_GB2312" w:eastAsia="仿宋_GB2312" w:hint="eastAsia"/>
          <w:sz w:val="32"/>
          <w:szCs w:val="32"/>
        </w:rPr>
        <w:t>1012.08</w:t>
      </w:r>
      <w:r>
        <w:rPr>
          <w:rFonts w:ascii="仿宋_GB2312" w:eastAsia="仿宋_GB2312" w:hint="eastAsia"/>
          <w:sz w:val="32"/>
          <w:szCs w:val="32"/>
        </w:rPr>
        <w:t>万元，其中：</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人员经费</w:t>
      </w:r>
      <w:r>
        <w:rPr>
          <w:rFonts w:ascii="仿宋_GB2312" w:eastAsia="仿宋_GB2312" w:hint="eastAsia"/>
          <w:sz w:val="32"/>
          <w:szCs w:val="32"/>
        </w:rPr>
        <w:t>972.12</w:t>
      </w:r>
      <w:r>
        <w:rPr>
          <w:rFonts w:ascii="仿宋_GB2312" w:eastAsia="仿宋_GB2312" w:hint="eastAsia"/>
          <w:sz w:val="32"/>
          <w:szCs w:val="32"/>
        </w:rPr>
        <w:t>万元，包括：基本工资</w:t>
      </w:r>
      <w:r>
        <w:rPr>
          <w:rFonts w:ascii="仿宋_GB2312" w:eastAsia="仿宋_GB2312" w:hint="eastAsia"/>
          <w:sz w:val="32"/>
          <w:szCs w:val="32"/>
        </w:rPr>
        <w:t>245.54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津贴补贴</w:t>
      </w:r>
      <w:r>
        <w:rPr>
          <w:rFonts w:ascii="仿宋_GB2312" w:eastAsia="仿宋_GB2312" w:hint="eastAsia"/>
          <w:sz w:val="32"/>
          <w:szCs w:val="32"/>
        </w:rPr>
        <w:t>57.68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奖金</w:t>
      </w:r>
      <w:r>
        <w:rPr>
          <w:rFonts w:ascii="仿宋_GB2312" w:eastAsia="仿宋_GB2312" w:hint="eastAsia"/>
          <w:sz w:val="32"/>
          <w:szCs w:val="32"/>
        </w:rPr>
        <w:t>148.33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绩效工资</w:t>
      </w:r>
      <w:r>
        <w:rPr>
          <w:rFonts w:ascii="仿宋_GB2312" w:eastAsia="仿宋_GB2312" w:hint="eastAsia"/>
          <w:sz w:val="32"/>
          <w:szCs w:val="32"/>
        </w:rPr>
        <w:t>239.59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机关事业单位基本养老保险缴费</w:t>
      </w:r>
      <w:r>
        <w:rPr>
          <w:rFonts w:ascii="仿宋_GB2312" w:eastAsia="仿宋_GB2312" w:hint="eastAsia"/>
          <w:sz w:val="32"/>
          <w:szCs w:val="32"/>
        </w:rPr>
        <w:t>69.6</w:t>
      </w:r>
      <w:r>
        <w:rPr>
          <w:rFonts w:ascii="仿宋_GB2312" w:eastAsia="仿宋_GB2312" w:hint="eastAsia"/>
          <w:sz w:val="32"/>
          <w:szCs w:val="32"/>
        </w:rPr>
        <w:t>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职工基本医疗保险缴费</w:t>
      </w:r>
      <w:r>
        <w:rPr>
          <w:rFonts w:ascii="仿宋_GB2312" w:eastAsia="仿宋_GB2312" w:hint="eastAsia"/>
          <w:sz w:val="32"/>
          <w:szCs w:val="32"/>
        </w:rPr>
        <w:t>69.11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公务员医疗补助缴费</w:t>
      </w:r>
      <w:r>
        <w:rPr>
          <w:rFonts w:ascii="仿宋_GB2312" w:eastAsia="仿宋_GB2312" w:hint="eastAsia"/>
          <w:sz w:val="32"/>
          <w:szCs w:val="32"/>
        </w:rPr>
        <w:t>16.86</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其他社</w:t>
      </w:r>
      <w:r>
        <w:rPr>
          <w:rFonts w:ascii="仿宋_GB2312" w:eastAsia="仿宋_GB2312" w:hint="eastAsia"/>
          <w:sz w:val="32"/>
          <w:szCs w:val="32"/>
        </w:rPr>
        <w:lastRenderedPageBreak/>
        <w:t>会保障缴费</w:t>
      </w:r>
      <w:r>
        <w:rPr>
          <w:rFonts w:ascii="仿宋_GB2312" w:eastAsia="仿宋_GB2312" w:hint="eastAsia"/>
          <w:sz w:val="32"/>
          <w:szCs w:val="32"/>
        </w:rPr>
        <w:t>7.49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住房公积金</w:t>
      </w:r>
      <w:r>
        <w:rPr>
          <w:rFonts w:ascii="仿宋_GB2312" w:eastAsia="仿宋_GB2312" w:hint="eastAsia"/>
          <w:sz w:val="32"/>
          <w:szCs w:val="32"/>
        </w:rPr>
        <w:t>76.44</w:t>
      </w:r>
      <w:r>
        <w:rPr>
          <w:rFonts w:ascii="仿宋_GB2312" w:eastAsia="仿宋_GB2312" w:hint="eastAsia"/>
          <w:sz w:val="32"/>
          <w:szCs w:val="32"/>
        </w:rPr>
        <w:t>万元</w:t>
      </w:r>
      <w:r>
        <w:rPr>
          <w:rFonts w:ascii="仿宋_GB2312" w:eastAsia="仿宋_GB2312" w:hint="eastAsia"/>
          <w:sz w:val="32"/>
          <w:szCs w:val="32"/>
        </w:rPr>
        <w:t>、退休费</w:t>
      </w:r>
      <w:r>
        <w:rPr>
          <w:rFonts w:ascii="仿宋_GB2312" w:eastAsia="仿宋_GB2312" w:hint="eastAsia"/>
          <w:sz w:val="32"/>
          <w:szCs w:val="32"/>
        </w:rPr>
        <w:t>24.23</w:t>
      </w:r>
      <w:r>
        <w:rPr>
          <w:rFonts w:ascii="仿宋_GB2312" w:eastAsia="仿宋_GB2312" w:hint="eastAsia"/>
          <w:sz w:val="32"/>
          <w:szCs w:val="32"/>
        </w:rPr>
        <w:t>万元</w:t>
      </w:r>
      <w:r>
        <w:rPr>
          <w:rFonts w:ascii="仿宋_GB2312" w:eastAsia="仿宋_GB2312" w:hint="eastAsia"/>
          <w:sz w:val="32"/>
          <w:szCs w:val="32"/>
        </w:rPr>
        <w:t>、生活补助</w:t>
      </w:r>
      <w:r>
        <w:rPr>
          <w:rFonts w:ascii="仿宋_GB2312" w:eastAsia="仿宋_GB2312" w:hint="eastAsia"/>
          <w:sz w:val="32"/>
          <w:szCs w:val="32"/>
        </w:rPr>
        <w:t>16.</w:t>
      </w:r>
      <w:r>
        <w:rPr>
          <w:rFonts w:ascii="仿宋_GB2312" w:eastAsia="仿宋_GB2312" w:hint="eastAsia"/>
          <w:sz w:val="32"/>
          <w:szCs w:val="32"/>
        </w:rPr>
        <w:t>89</w:t>
      </w:r>
      <w:r>
        <w:rPr>
          <w:rFonts w:ascii="仿宋_GB2312" w:eastAsia="仿宋_GB2312" w:hint="eastAsia"/>
          <w:sz w:val="32"/>
          <w:szCs w:val="32"/>
        </w:rPr>
        <w:t>万元</w:t>
      </w:r>
      <w:r>
        <w:rPr>
          <w:rFonts w:ascii="仿宋_GB2312" w:eastAsia="仿宋_GB2312" w:hint="eastAsia"/>
          <w:sz w:val="32"/>
          <w:szCs w:val="32"/>
        </w:rPr>
        <w:t>、其他对个人和家庭的补助</w:t>
      </w:r>
      <w:r>
        <w:rPr>
          <w:rFonts w:ascii="仿宋_GB2312" w:eastAsia="仿宋_GB2312" w:hint="eastAsia"/>
          <w:sz w:val="32"/>
          <w:szCs w:val="32"/>
        </w:rPr>
        <w:t>0.31</w:t>
      </w:r>
      <w:r>
        <w:rPr>
          <w:rFonts w:ascii="仿宋_GB2312" w:eastAsia="仿宋_GB2312" w:hint="eastAsia"/>
          <w:sz w:val="32"/>
          <w:szCs w:val="32"/>
        </w:rPr>
        <w:t>万元</w:t>
      </w:r>
      <w:r>
        <w:rPr>
          <w:rFonts w:ascii="仿宋_GB2312" w:eastAsia="仿宋_GB2312" w:hint="eastAsia"/>
          <w:sz w:val="32"/>
          <w:szCs w:val="32"/>
        </w:rPr>
        <w:t>。</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公用经费</w:t>
      </w:r>
      <w:r>
        <w:rPr>
          <w:rFonts w:ascii="仿宋_GB2312" w:eastAsia="仿宋_GB2312" w:hint="eastAsia"/>
          <w:sz w:val="32"/>
          <w:szCs w:val="32"/>
        </w:rPr>
        <w:t>39.96</w:t>
      </w:r>
      <w:r>
        <w:rPr>
          <w:rFonts w:ascii="仿宋_GB2312" w:eastAsia="仿宋_GB2312" w:hint="eastAsia"/>
          <w:sz w:val="32"/>
          <w:szCs w:val="32"/>
        </w:rPr>
        <w:t>万元，包括：办公费</w:t>
      </w:r>
      <w:r>
        <w:rPr>
          <w:rFonts w:ascii="仿宋_GB2312" w:eastAsia="仿宋_GB2312" w:hint="eastAsia"/>
          <w:sz w:val="32"/>
          <w:szCs w:val="32"/>
        </w:rPr>
        <w:t>0.34</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电费</w:t>
      </w:r>
      <w:r>
        <w:rPr>
          <w:rFonts w:ascii="仿宋_GB2312" w:eastAsia="仿宋_GB2312" w:hint="eastAsia"/>
          <w:sz w:val="32"/>
          <w:szCs w:val="32"/>
        </w:rPr>
        <w:t>1.7</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邮电费</w:t>
      </w:r>
      <w:r>
        <w:rPr>
          <w:rFonts w:ascii="仿宋_GB2312" w:eastAsia="仿宋_GB2312" w:hint="eastAsia"/>
          <w:sz w:val="32"/>
          <w:szCs w:val="32"/>
        </w:rPr>
        <w:t>2.13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工会经费</w:t>
      </w:r>
      <w:r>
        <w:rPr>
          <w:rFonts w:ascii="仿宋_GB2312" w:eastAsia="仿宋_GB2312" w:hint="eastAsia"/>
          <w:sz w:val="32"/>
          <w:szCs w:val="32"/>
        </w:rPr>
        <w:t>8.68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福利费</w:t>
      </w:r>
      <w:r>
        <w:rPr>
          <w:rFonts w:ascii="仿宋_GB2312" w:eastAsia="仿宋_GB2312" w:hint="eastAsia"/>
          <w:sz w:val="32"/>
          <w:szCs w:val="32"/>
        </w:rPr>
        <w:t>6.22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其他交通费用</w:t>
      </w:r>
      <w:r>
        <w:rPr>
          <w:rFonts w:ascii="仿宋_GB2312" w:eastAsia="仿宋_GB2312" w:hint="eastAsia"/>
          <w:sz w:val="32"/>
          <w:szCs w:val="32"/>
        </w:rPr>
        <w:t>20.</w:t>
      </w:r>
      <w:r>
        <w:rPr>
          <w:rFonts w:ascii="仿宋_GB2312" w:eastAsia="仿宋_GB2312" w:hint="eastAsia"/>
          <w:sz w:val="32"/>
          <w:szCs w:val="32"/>
        </w:rPr>
        <w:t>89</w:t>
      </w:r>
      <w:r>
        <w:rPr>
          <w:rFonts w:ascii="仿宋_GB2312" w:eastAsia="仿宋_GB2312" w:hint="eastAsia"/>
          <w:sz w:val="32"/>
          <w:szCs w:val="32"/>
        </w:rPr>
        <w:t>万元</w:t>
      </w:r>
      <w:r>
        <w:rPr>
          <w:rFonts w:ascii="仿宋_GB2312" w:eastAsia="仿宋_GB2312" w:hint="eastAsia"/>
          <w:sz w:val="32"/>
          <w:szCs w:val="32"/>
        </w:rPr>
        <w:t>、。</w:t>
      </w:r>
    </w:p>
    <w:p w:rsidR="0036485F" w:rsidRDefault="00667E9C">
      <w:pPr>
        <w:ind w:firstLineChars="200" w:firstLine="640"/>
        <w:outlineLvl w:val="1"/>
        <w:rPr>
          <w:rFonts w:ascii="黑体" w:eastAsia="黑体" w:hAnsi="黑体" w:cs="宋体"/>
          <w:bCs/>
          <w:kern w:val="0"/>
          <w:sz w:val="32"/>
          <w:szCs w:val="32"/>
        </w:rPr>
      </w:pPr>
      <w:bookmarkStart w:id="20" w:name="_Toc21518"/>
      <w:bookmarkStart w:id="21" w:name="_Toc7190"/>
      <w:r>
        <w:rPr>
          <w:rFonts w:ascii="黑体" w:eastAsia="黑体" w:hAnsi="黑体" w:cs="宋体" w:hint="eastAsia"/>
          <w:bCs/>
          <w:kern w:val="0"/>
          <w:sz w:val="32"/>
          <w:szCs w:val="32"/>
        </w:rPr>
        <w:t>七、</w:t>
      </w:r>
      <w:r>
        <w:rPr>
          <w:rFonts w:ascii="黑体" w:eastAsia="黑体" w:hAnsi="黑体" w:cs="宋体" w:hint="eastAsia"/>
          <w:bCs/>
          <w:kern w:val="0"/>
          <w:sz w:val="32"/>
          <w:szCs w:val="32"/>
        </w:rPr>
        <w:t>财政拨款</w:t>
      </w:r>
      <w:r>
        <w:rPr>
          <w:rFonts w:ascii="黑体" w:eastAsia="黑体" w:hAnsi="黑体" w:cs="宋体" w:hint="eastAsia"/>
          <w:bCs/>
          <w:kern w:val="0"/>
          <w:sz w:val="32"/>
          <w:szCs w:val="32"/>
        </w:rPr>
        <w:t>“三公”经费支出</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w:t>
      </w:r>
      <w:r>
        <w:rPr>
          <w:rFonts w:ascii="黑体" w:eastAsia="黑体" w:hAnsi="黑体" w:cs="宋体" w:hint="eastAsia"/>
          <w:bCs/>
          <w:kern w:val="0"/>
          <w:sz w:val="32"/>
          <w:szCs w:val="32"/>
        </w:rPr>
        <w:t>说明</w:t>
      </w:r>
      <w:bookmarkEnd w:id="20"/>
      <w:bookmarkEnd w:id="21"/>
    </w:p>
    <w:p w:rsidR="0036485F" w:rsidRDefault="00667E9C">
      <w:pPr>
        <w:ind w:firstLineChars="200" w:firstLine="640"/>
        <w:rPr>
          <w:rFonts w:ascii="仿宋_GB2312" w:eastAsia="仿宋_GB2312"/>
          <w:sz w:val="32"/>
          <w:szCs w:val="32"/>
        </w:rPr>
      </w:pPr>
      <w:bookmarkStart w:id="22" w:name="_Toc7927"/>
      <w:bookmarkStart w:id="23" w:name="_Toc5810"/>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财政拨款</w:t>
      </w:r>
      <w:r>
        <w:rPr>
          <w:rFonts w:ascii="仿宋_GB2312" w:eastAsia="仿宋_GB2312" w:hint="eastAsia"/>
          <w:sz w:val="32"/>
          <w:szCs w:val="32"/>
        </w:rPr>
        <w:t>“三公”经费支出决算</w:t>
      </w:r>
      <w:r>
        <w:rPr>
          <w:rFonts w:ascii="仿宋_GB2312" w:eastAsia="仿宋_GB2312" w:hint="eastAsia"/>
          <w:sz w:val="32"/>
          <w:szCs w:val="32"/>
        </w:rPr>
        <w:t>0</w:t>
      </w:r>
      <w:r>
        <w:rPr>
          <w:rFonts w:ascii="仿宋_GB2312" w:eastAsia="仿宋_GB2312" w:hint="eastAsia"/>
          <w:sz w:val="32"/>
          <w:szCs w:val="32"/>
        </w:rPr>
        <w:t>万元，比上年增加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年均无“三公”经费支出</w:t>
      </w:r>
      <w:r>
        <w:rPr>
          <w:rFonts w:ascii="仿宋_GB2312" w:eastAsia="仿宋_GB2312" w:hint="eastAsia"/>
          <w:sz w:val="32"/>
          <w:szCs w:val="32"/>
        </w:rPr>
        <w:t>。其中</w:t>
      </w:r>
      <w:r>
        <w:rPr>
          <w:rFonts w:ascii="仿宋_GB2312" w:eastAsia="仿宋_GB2312" w:hint="eastAsia"/>
          <w:sz w:val="32"/>
          <w:szCs w:val="32"/>
        </w:rPr>
        <w:t>：</w:t>
      </w:r>
      <w:r>
        <w:rPr>
          <w:rFonts w:ascii="仿宋_GB2312" w:eastAsia="仿宋_GB2312" w:hint="eastAsia"/>
          <w:sz w:val="32"/>
          <w:szCs w:val="32"/>
        </w:rPr>
        <w:t>因公出国（境）费支出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年均无“三公”经费支出</w:t>
      </w:r>
      <w:r>
        <w:rPr>
          <w:rFonts w:ascii="仿宋_GB2312" w:eastAsia="仿宋_GB2312" w:hint="eastAsia"/>
          <w:sz w:val="32"/>
          <w:szCs w:val="32"/>
        </w:rPr>
        <w:t>；公务用车购置及运行维护费支出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主要原因是：我单位车辆属于其他车辆，不属于公务车辆</w:t>
      </w:r>
      <w:r>
        <w:rPr>
          <w:rFonts w:ascii="仿宋_GB2312" w:eastAsia="仿宋_GB2312" w:hint="eastAsia"/>
          <w:sz w:val="32"/>
          <w:szCs w:val="32"/>
        </w:rPr>
        <w:t>；公务接待费支出</w:t>
      </w:r>
      <w:r>
        <w:rPr>
          <w:rFonts w:ascii="仿宋_GB2312" w:eastAsia="仿宋_GB2312" w:hint="eastAsia"/>
          <w:sz w:val="32"/>
          <w:szCs w:val="32"/>
        </w:rPr>
        <w:t>0</w:t>
      </w:r>
      <w:r>
        <w:rPr>
          <w:rFonts w:ascii="仿宋_GB2312" w:eastAsia="仿宋_GB2312" w:hint="eastAsia"/>
          <w:sz w:val="32"/>
          <w:szCs w:val="32"/>
        </w:rPr>
        <w:t>万元，占</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w:t>
      </w:r>
      <w:r>
        <w:rPr>
          <w:rFonts w:ascii="仿宋_GB2312" w:eastAsia="仿宋_GB2312" w:hint="eastAsia"/>
          <w:sz w:val="32"/>
          <w:szCs w:val="32"/>
        </w:rPr>
        <w:t>万元，增长</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年均无“三公”经费支出</w:t>
      </w:r>
      <w:r>
        <w:rPr>
          <w:rFonts w:ascii="仿宋_GB2312" w:eastAsia="仿宋_GB2312" w:hint="eastAsia"/>
          <w:sz w:val="32"/>
          <w:szCs w:val="32"/>
        </w:rPr>
        <w:t>。具体情况如下：</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sidR="006976FE">
        <w:rPr>
          <w:rFonts w:ascii="仿宋_GB2312" w:eastAsia="仿宋_GB2312" w:hint="eastAsia"/>
          <w:sz w:val="32"/>
          <w:szCs w:val="32"/>
        </w:rPr>
        <w:t>开支内容:本年无此项支出</w:t>
      </w:r>
      <w:r>
        <w:rPr>
          <w:rFonts w:ascii="仿宋_GB2312" w:eastAsia="仿宋_GB2312" w:hint="eastAsia"/>
          <w:sz w:val="32"/>
          <w:szCs w:val="32"/>
        </w:rPr>
        <w:t>。单位全年安排的因公出国（境）团组</w:t>
      </w:r>
      <w:r>
        <w:rPr>
          <w:rFonts w:ascii="仿宋_GB2312" w:eastAsia="仿宋_GB2312" w:hint="eastAsia"/>
          <w:sz w:val="32"/>
          <w:szCs w:val="32"/>
        </w:rPr>
        <w:t>0</w:t>
      </w:r>
      <w:r>
        <w:rPr>
          <w:rFonts w:ascii="仿宋_GB2312" w:eastAsia="仿宋_GB2312" w:hint="eastAsia"/>
          <w:sz w:val="32"/>
          <w:szCs w:val="32"/>
        </w:rPr>
        <w:t>个，因公出国（境）</w:t>
      </w:r>
      <w:r>
        <w:rPr>
          <w:rFonts w:ascii="仿宋_GB2312" w:eastAsia="仿宋_GB2312" w:hint="eastAsia"/>
          <w:sz w:val="32"/>
          <w:szCs w:val="32"/>
        </w:rPr>
        <w:t>0</w:t>
      </w:r>
      <w:r>
        <w:rPr>
          <w:rFonts w:ascii="仿宋_GB2312" w:eastAsia="仿宋_GB2312" w:hint="eastAsia"/>
          <w:sz w:val="32"/>
          <w:szCs w:val="32"/>
        </w:rPr>
        <w:t>人次。</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w:t>
      </w:r>
      <w:r>
        <w:rPr>
          <w:rFonts w:ascii="仿宋_GB2312" w:eastAsia="仿宋_GB2312" w:hint="eastAsia"/>
          <w:sz w:val="32"/>
          <w:szCs w:val="32"/>
        </w:rPr>
        <w:t>公务用车购置费</w:t>
      </w:r>
      <w:r>
        <w:rPr>
          <w:rFonts w:ascii="仿宋_GB2312" w:eastAsia="仿宋_GB2312" w:hint="eastAsia"/>
          <w:sz w:val="32"/>
          <w:szCs w:val="32"/>
        </w:rPr>
        <w:t>0</w:t>
      </w:r>
      <w:r>
        <w:rPr>
          <w:rFonts w:ascii="仿宋_GB2312" w:eastAsia="仿宋_GB2312" w:hint="eastAsia"/>
          <w:sz w:val="32"/>
          <w:szCs w:val="32"/>
        </w:rPr>
        <w:t>万元，公务用车运行维护费</w:t>
      </w:r>
      <w:r>
        <w:rPr>
          <w:rFonts w:ascii="仿宋_GB2312" w:eastAsia="仿宋_GB2312" w:hint="eastAsia"/>
          <w:sz w:val="32"/>
          <w:szCs w:val="32"/>
        </w:rPr>
        <w:t>0</w:t>
      </w:r>
      <w:r>
        <w:rPr>
          <w:rFonts w:ascii="仿宋_GB2312" w:eastAsia="仿宋_GB2312" w:hint="eastAsia"/>
          <w:sz w:val="32"/>
          <w:szCs w:val="32"/>
        </w:rPr>
        <w:t>万元。公务用车运行维护</w:t>
      </w:r>
      <w:r>
        <w:rPr>
          <w:rFonts w:ascii="仿宋_GB2312" w:eastAsia="仿宋_GB2312" w:hint="eastAsia"/>
          <w:sz w:val="32"/>
          <w:szCs w:val="32"/>
        </w:rPr>
        <w:t>费</w:t>
      </w:r>
      <w:r w:rsidR="006976FE">
        <w:rPr>
          <w:rFonts w:ascii="仿宋_GB2312" w:eastAsia="仿宋_GB2312" w:hint="eastAsia"/>
          <w:sz w:val="32"/>
          <w:szCs w:val="32"/>
        </w:rPr>
        <w:t>开支内容:本年无此项支出</w:t>
      </w:r>
      <w:r>
        <w:rPr>
          <w:rFonts w:ascii="仿宋_GB2312" w:eastAsia="仿宋_GB2312" w:hint="eastAsia"/>
          <w:sz w:val="32"/>
          <w:szCs w:val="32"/>
        </w:rPr>
        <w:t>。公务用车购置数</w:t>
      </w:r>
      <w:r>
        <w:rPr>
          <w:rFonts w:ascii="仿宋_GB2312" w:eastAsia="仿宋_GB2312" w:hint="eastAsia"/>
          <w:sz w:val="32"/>
          <w:szCs w:val="32"/>
        </w:rPr>
        <w:t>0</w:t>
      </w:r>
      <w:r>
        <w:rPr>
          <w:rFonts w:ascii="仿宋_GB2312" w:eastAsia="仿宋_GB2312" w:hint="eastAsia"/>
          <w:sz w:val="32"/>
          <w:szCs w:val="32"/>
        </w:rPr>
        <w:t>辆，公务用车保有量</w:t>
      </w:r>
      <w:r>
        <w:rPr>
          <w:rFonts w:ascii="仿宋_GB2312" w:eastAsia="仿宋_GB2312" w:hint="eastAsia"/>
          <w:sz w:val="32"/>
          <w:szCs w:val="32"/>
        </w:rPr>
        <w:t>0</w:t>
      </w:r>
      <w:r>
        <w:rPr>
          <w:rFonts w:ascii="仿宋_GB2312" w:eastAsia="仿宋_GB2312" w:hint="eastAsia"/>
          <w:sz w:val="32"/>
          <w:szCs w:val="32"/>
        </w:rPr>
        <w:t>辆。</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w:t>
      </w:r>
      <w:r w:rsidR="006976FE">
        <w:rPr>
          <w:rFonts w:ascii="仿宋_GB2312" w:eastAsia="仿宋_GB2312" w:hint="eastAsia"/>
          <w:sz w:val="32"/>
          <w:szCs w:val="32"/>
        </w:rPr>
        <w:t>开支内容:本年无此项支出</w:t>
      </w:r>
      <w:bookmarkStart w:id="24" w:name="_GoBack"/>
      <w:bookmarkEnd w:id="24"/>
      <w:r>
        <w:rPr>
          <w:rFonts w:ascii="仿宋_GB2312" w:eastAsia="仿宋_GB2312" w:hint="eastAsia"/>
          <w:sz w:val="32"/>
          <w:szCs w:val="32"/>
        </w:rPr>
        <w:t>。单位全年安排的国内公务接待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相比情况：“三公”经费支出</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年均无“三公”经费预算及支出</w:t>
      </w:r>
      <w:r>
        <w:rPr>
          <w:rFonts w:ascii="仿宋_GB2312" w:eastAsia="仿宋_GB2312" w:hint="eastAsia"/>
          <w:sz w:val="32"/>
          <w:szCs w:val="32"/>
        </w:rPr>
        <w:t>。</w:t>
      </w:r>
      <w:r>
        <w:rPr>
          <w:rFonts w:ascii="仿宋_GB2312" w:eastAsia="仿宋_GB2312" w:hAnsi="宋体" w:cs="宋体" w:hint="eastAsia"/>
          <w:kern w:val="0"/>
          <w:sz w:val="32"/>
          <w:szCs w:val="32"/>
        </w:rPr>
        <w:t>其中：因公出国（境）费</w:t>
      </w:r>
      <w:r>
        <w:rPr>
          <w:rFonts w:ascii="仿宋_GB2312" w:eastAsia="仿宋_GB2312" w:hAnsi="宋体" w:cs="宋体" w:hint="eastAsia"/>
          <w:kern w:val="0"/>
          <w:sz w:val="32"/>
          <w:szCs w:val="32"/>
        </w:rPr>
        <w:t>全年预算数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年均无“三公”经费预算及支出</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费</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w:t>
      </w:r>
      <w:r>
        <w:rPr>
          <w:rFonts w:ascii="仿宋_GB2312" w:eastAsia="仿宋_GB2312" w:hint="eastAsia"/>
          <w:sz w:val="32"/>
          <w:szCs w:val="32"/>
        </w:rPr>
        <w:lastRenderedPageBreak/>
        <w:t>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年均无“三公”经费预算及支出</w:t>
      </w:r>
      <w:r>
        <w:rPr>
          <w:rFonts w:ascii="仿宋_GB2312" w:eastAsia="仿宋_GB2312" w:hint="eastAsia"/>
          <w:sz w:val="32"/>
          <w:szCs w:val="32"/>
        </w:rPr>
        <w:t>；</w:t>
      </w:r>
      <w:r>
        <w:rPr>
          <w:rFonts w:ascii="仿宋_GB2312" w:eastAsia="仿宋_GB2312" w:hAnsi="宋体" w:cs="宋体" w:hint="eastAsia"/>
          <w:kern w:val="0"/>
          <w:sz w:val="32"/>
          <w:szCs w:val="32"/>
        </w:rPr>
        <w:t>公务用车运行费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年均无“三公”经费预算及支出</w:t>
      </w:r>
      <w:r>
        <w:rPr>
          <w:rFonts w:ascii="仿宋_GB2312" w:eastAsia="仿宋_GB2312" w:hint="eastAsia"/>
          <w:sz w:val="32"/>
          <w:szCs w:val="32"/>
        </w:rPr>
        <w:t>；</w:t>
      </w:r>
      <w:r>
        <w:rPr>
          <w:rFonts w:ascii="仿宋_GB2312" w:eastAsia="仿宋_GB2312" w:hAnsi="宋体" w:cs="宋体" w:hint="eastAsia"/>
          <w:kern w:val="0"/>
          <w:sz w:val="32"/>
          <w:szCs w:val="32"/>
        </w:rPr>
        <w:t>公务接待费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w:t>
      </w:r>
      <w:r>
        <w:rPr>
          <w:rFonts w:ascii="仿宋_GB2312" w:eastAsia="仿宋_GB2312" w:hint="eastAsia"/>
          <w:sz w:val="32"/>
          <w:szCs w:val="32"/>
        </w:rPr>
        <w:t>万元，预决算差异率</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2021</w:t>
      </w:r>
      <w:r>
        <w:rPr>
          <w:rFonts w:ascii="仿宋_GB2312" w:eastAsia="仿宋_GB2312" w:hint="eastAsia"/>
          <w:sz w:val="32"/>
          <w:szCs w:val="32"/>
        </w:rPr>
        <w:t>年和</w:t>
      </w:r>
      <w:r>
        <w:rPr>
          <w:rFonts w:ascii="仿宋_GB2312" w:eastAsia="仿宋_GB2312" w:hint="eastAsia"/>
          <w:sz w:val="32"/>
          <w:szCs w:val="32"/>
        </w:rPr>
        <w:t>2022</w:t>
      </w:r>
      <w:r>
        <w:rPr>
          <w:rFonts w:ascii="仿宋_GB2312" w:eastAsia="仿宋_GB2312" w:hint="eastAsia"/>
          <w:sz w:val="32"/>
          <w:szCs w:val="32"/>
        </w:rPr>
        <w:t>年均无“三公”经费预算及支出</w:t>
      </w:r>
      <w:r>
        <w:rPr>
          <w:rFonts w:ascii="仿宋_GB2312" w:eastAsia="仿宋_GB2312" w:hint="eastAsia"/>
          <w:sz w:val="32"/>
          <w:szCs w:val="32"/>
        </w:rPr>
        <w:t>。</w:t>
      </w:r>
    </w:p>
    <w:p w:rsidR="0036485F" w:rsidRDefault="00667E9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八</w:t>
      </w:r>
      <w:r>
        <w:rPr>
          <w:rFonts w:ascii="黑体" w:eastAsia="黑体" w:hAnsi="黑体" w:cs="宋体" w:hint="eastAsia"/>
          <w:bCs/>
          <w:kern w:val="0"/>
          <w:sz w:val="32"/>
          <w:szCs w:val="32"/>
        </w:rPr>
        <w:t>、政府性基金预算财政拨款收入支出决算情况说明</w:t>
      </w:r>
      <w:bookmarkEnd w:id="22"/>
      <w:bookmarkEnd w:id="23"/>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w:t>
      </w:r>
      <w:r>
        <w:rPr>
          <w:rFonts w:ascii="仿宋_GB2312" w:eastAsia="仿宋_GB2312" w:hint="eastAsia"/>
          <w:sz w:val="32"/>
          <w:szCs w:val="32"/>
        </w:rPr>
        <w:t>及结转和结余</w:t>
      </w:r>
      <w:r>
        <w:rPr>
          <w:rFonts w:ascii="仿宋_GB2312" w:eastAsia="仿宋_GB2312" w:hint="eastAsia"/>
          <w:sz w:val="32"/>
          <w:szCs w:val="32"/>
        </w:rPr>
        <w:t>，</w:t>
      </w:r>
      <w:r>
        <w:rPr>
          <w:rFonts w:ascii="仿宋_GB2312" w:eastAsia="仿宋_GB2312" w:hint="eastAsia"/>
          <w:sz w:val="32"/>
          <w:szCs w:val="32"/>
        </w:rPr>
        <w:t>政府性基金预算财政拨款收入支出决算表为空表。</w:t>
      </w:r>
    </w:p>
    <w:p w:rsidR="0036485F" w:rsidRDefault="0036485F">
      <w:pPr>
        <w:ind w:firstLineChars="200" w:firstLine="640"/>
        <w:rPr>
          <w:rFonts w:ascii="仿宋_GB2312" w:eastAsia="仿宋_GB2312"/>
          <w:sz w:val="32"/>
          <w:szCs w:val="32"/>
        </w:rPr>
      </w:pPr>
    </w:p>
    <w:p w:rsidR="0036485F" w:rsidRDefault="00667E9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、国有资本经营预算财政拨款收入支出决算情况说明</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w:t>
      </w:r>
      <w:r>
        <w:rPr>
          <w:rFonts w:ascii="仿宋_GB2312" w:eastAsia="仿宋_GB2312" w:hint="eastAsia"/>
          <w:sz w:val="32"/>
          <w:szCs w:val="32"/>
        </w:rPr>
        <w:t>及结转和结余</w:t>
      </w:r>
      <w:r>
        <w:rPr>
          <w:rFonts w:ascii="仿宋_GB2312" w:eastAsia="仿宋_GB2312" w:hint="eastAsia"/>
          <w:sz w:val="32"/>
          <w:szCs w:val="32"/>
        </w:rPr>
        <w:t>，国有资本经营</w:t>
      </w:r>
      <w:r>
        <w:rPr>
          <w:rFonts w:ascii="仿宋_GB2312" w:eastAsia="仿宋_GB2312" w:hint="eastAsia"/>
          <w:sz w:val="32"/>
          <w:szCs w:val="32"/>
        </w:rPr>
        <w:t>预算财政拨款收入支出决算表为空表。</w:t>
      </w:r>
    </w:p>
    <w:p w:rsidR="0036485F" w:rsidRDefault="00667E9C">
      <w:pPr>
        <w:ind w:firstLineChars="200" w:firstLine="640"/>
        <w:outlineLvl w:val="1"/>
        <w:rPr>
          <w:rFonts w:ascii="黑体" w:eastAsia="黑体" w:hAnsi="黑体" w:cs="宋体"/>
          <w:bCs/>
          <w:kern w:val="0"/>
          <w:sz w:val="32"/>
          <w:szCs w:val="32"/>
        </w:rPr>
      </w:pPr>
      <w:bookmarkStart w:id="25" w:name="_Toc7314"/>
      <w:bookmarkStart w:id="26" w:name="_Toc1235"/>
      <w:r>
        <w:rPr>
          <w:rFonts w:ascii="黑体" w:eastAsia="黑体" w:hAnsi="黑体" w:cs="宋体" w:hint="eastAsia"/>
          <w:bCs/>
          <w:kern w:val="0"/>
          <w:sz w:val="32"/>
          <w:szCs w:val="32"/>
        </w:rPr>
        <w:t>十</w:t>
      </w:r>
      <w:r>
        <w:rPr>
          <w:rFonts w:ascii="黑体" w:eastAsia="黑体" w:hAnsi="黑体" w:cs="宋体" w:hint="eastAsia"/>
          <w:bCs/>
          <w:kern w:val="0"/>
          <w:sz w:val="32"/>
          <w:szCs w:val="32"/>
        </w:rPr>
        <w:t>、其他重要事项的情况</w:t>
      </w:r>
      <w:r>
        <w:rPr>
          <w:rFonts w:ascii="黑体" w:eastAsia="黑体" w:hAnsi="黑体" w:cs="宋体" w:hint="eastAsia"/>
          <w:bCs/>
          <w:kern w:val="0"/>
          <w:sz w:val="32"/>
          <w:szCs w:val="32"/>
        </w:rPr>
        <w:t>说明</w:t>
      </w:r>
      <w:bookmarkEnd w:id="25"/>
      <w:bookmarkEnd w:id="26"/>
    </w:p>
    <w:p w:rsidR="0036485F" w:rsidRDefault="00667E9C">
      <w:pPr>
        <w:ind w:firstLineChars="200" w:firstLine="640"/>
        <w:outlineLvl w:val="2"/>
        <w:rPr>
          <w:rFonts w:ascii="黑体" w:eastAsia="黑体" w:hAnsi="黑体"/>
          <w:sz w:val="32"/>
          <w:szCs w:val="32"/>
        </w:rPr>
      </w:pPr>
      <w:bookmarkStart w:id="27" w:name="_Toc14519"/>
      <w:bookmarkStart w:id="28" w:name="_Toc13105"/>
      <w:r>
        <w:rPr>
          <w:rFonts w:ascii="黑体" w:eastAsia="黑体" w:hAnsi="黑体" w:hint="eastAsia"/>
          <w:sz w:val="32"/>
          <w:szCs w:val="32"/>
        </w:rPr>
        <w:t>（一）</w:t>
      </w:r>
      <w:r>
        <w:rPr>
          <w:rFonts w:ascii="黑体" w:eastAsia="黑体" w:hAnsi="黑体" w:hint="eastAsia"/>
          <w:sz w:val="32"/>
          <w:szCs w:val="32"/>
        </w:rPr>
        <w:t>机关运行经费支出情况</w:t>
      </w:r>
      <w:bookmarkEnd w:id="27"/>
      <w:bookmarkEnd w:id="28"/>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乌鲁木齐高新技术产业开发区（乌鲁木齐市新市区）园林队</w:t>
      </w:r>
      <w:r>
        <w:rPr>
          <w:rFonts w:ascii="仿宋_GB2312" w:eastAsia="仿宋_GB2312" w:hint="eastAsia"/>
          <w:sz w:val="32"/>
          <w:szCs w:val="32"/>
        </w:rPr>
        <w:t>公用经费</w:t>
      </w:r>
      <w:r>
        <w:rPr>
          <w:rFonts w:ascii="仿宋_GB2312" w:eastAsia="仿宋_GB2312" w:hint="eastAsia"/>
          <w:sz w:val="32"/>
          <w:szCs w:val="32"/>
        </w:rPr>
        <w:t>39.96</w:t>
      </w:r>
      <w:r>
        <w:rPr>
          <w:rFonts w:ascii="仿宋_GB2312" w:eastAsia="仿宋_GB2312" w:hint="eastAsia"/>
          <w:sz w:val="32"/>
          <w:szCs w:val="32"/>
        </w:rPr>
        <w:t>万元，比上年减少</w:t>
      </w:r>
      <w:r>
        <w:rPr>
          <w:rFonts w:ascii="仿宋_GB2312" w:eastAsia="仿宋_GB2312" w:hint="eastAsia"/>
          <w:sz w:val="32"/>
          <w:szCs w:val="32"/>
        </w:rPr>
        <w:t>32.05</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44.51</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公用经费受疫情影响未及时使用，存在部分欠款未支付完毕，较上年支出减少</w:t>
      </w:r>
      <w:r>
        <w:rPr>
          <w:rFonts w:ascii="仿宋_GB2312" w:eastAsia="仿宋_GB2312" w:hint="eastAsia"/>
          <w:sz w:val="32"/>
          <w:szCs w:val="32"/>
        </w:rPr>
        <w:t>。</w:t>
      </w:r>
    </w:p>
    <w:p w:rsidR="0036485F" w:rsidRDefault="00667E9C">
      <w:pPr>
        <w:ind w:firstLineChars="200" w:firstLine="640"/>
        <w:outlineLvl w:val="2"/>
        <w:rPr>
          <w:rFonts w:ascii="黑体" w:eastAsia="黑体" w:hAnsi="黑体"/>
          <w:sz w:val="32"/>
          <w:szCs w:val="32"/>
        </w:rPr>
      </w:pPr>
      <w:bookmarkStart w:id="29" w:name="_Toc227"/>
      <w:bookmarkStart w:id="30" w:name="_Toc26704"/>
      <w:r>
        <w:rPr>
          <w:rFonts w:ascii="黑体" w:eastAsia="黑体" w:hAnsi="黑体" w:hint="eastAsia"/>
          <w:sz w:val="32"/>
          <w:szCs w:val="32"/>
        </w:rPr>
        <w:t>（二）政府采购情况</w:t>
      </w:r>
      <w:bookmarkEnd w:id="29"/>
      <w:bookmarkEnd w:id="30"/>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政府采购支出总额</w:t>
      </w:r>
      <w:r>
        <w:rPr>
          <w:rFonts w:ascii="仿宋_GB2312" w:eastAsia="仿宋_GB2312" w:hint="eastAsia"/>
          <w:sz w:val="32"/>
          <w:szCs w:val="32"/>
        </w:rPr>
        <w:t>11.67</w:t>
      </w:r>
      <w:r>
        <w:rPr>
          <w:rFonts w:ascii="仿宋_GB2312" w:eastAsia="仿宋_GB2312" w:hint="eastAsia"/>
          <w:sz w:val="32"/>
          <w:szCs w:val="32"/>
        </w:rPr>
        <w:t>万元，其中：政府采购货物支出</w:t>
      </w:r>
      <w:r>
        <w:rPr>
          <w:rFonts w:ascii="仿宋_GB2312" w:eastAsia="仿宋_GB2312" w:hint="eastAsia"/>
          <w:sz w:val="32"/>
          <w:szCs w:val="32"/>
        </w:rPr>
        <w:t>0</w:t>
      </w:r>
      <w:r>
        <w:rPr>
          <w:rFonts w:ascii="仿宋_GB2312" w:eastAsia="仿宋_GB2312" w:hint="eastAsia"/>
          <w:sz w:val="32"/>
          <w:szCs w:val="32"/>
        </w:rPr>
        <w:t>万元、政府采购工程支出</w:t>
      </w:r>
      <w:r>
        <w:rPr>
          <w:rFonts w:ascii="仿宋_GB2312" w:eastAsia="仿宋_GB2312" w:hint="eastAsia"/>
          <w:sz w:val="32"/>
          <w:szCs w:val="32"/>
        </w:rPr>
        <w:t>4.39</w:t>
      </w:r>
      <w:r>
        <w:rPr>
          <w:rFonts w:ascii="仿宋_GB2312" w:eastAsia="仿宋_GB2312" w:hint="eastAsia"/>
          <w:sz w:val="32"/>
          <w:szCs w:val="32"/>
        </w:rPr>
        <w:t>万元、政府采购服务支出</w:t>
      </w:r>
      <w:r>
        <w:rPr>
          <w:rFonts w:ascii="仿宋_GB2312" w:eastAsia="仿宋_GB2312" w:hint="eastAsia"/>
          <w:sz w:val="32"/>
          <w:szCs w:val="32"/>
        </w:rPr>
        <w:t>7.28</w:t>
      </w:r>
      <w:r>
        <w:rPr>
          <w:rFonts w:ascii="仿宋_GB2312" w:eastAsia="仿宋_GB2312" w:hint="eastAsia"/>
          <w:sz w:val="32"/>
          <w:szCs w:val="32"/>
        </w:rPr>
        <w:t>万元。</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授予中小企业合同金额</w:t>
      </w:r>
      <w:r>
        <w:rPr>
          <w:rFonts w:ascii="仿宋_GB2312" w:eastAsia="仿宋_GB2312" w:hint="eastAsia"/>
          <w:sz w:val="32"/>
          <w:szCs w:val="32"/>
        </w:rPr>
        <w:t>4.80</w:t>
      </w:r>
      <w:r>
        <w:rPr>
          <w:rFonts w:ascii="仿宋_GB2312" w:eastAsia="仿宋_GB2312" w:hint="eastAsia"/>
          <w:sz w:val="32"/>
          <w:szCs w:val="32"/>
        </w:rPr>
        <w:t>万元，占政府采购支出总额的</w:t>
      </w:r>
      <w:r>
        <w:rPr>
          <w:rFonts w:ascii="仿宋_GB2312" w:eastAsia="仿宋_GB2312" w:hint="eastAsia"/>
          <w:sz w:val="32"/>
          <w:szCs w:val="32"/>
        </w:rPr>
        <w:t>41.13%</w:t>
      </w:r>
      <w:r>
        <w:rPr>
          <w:rFonts w:ascii="仿宋_GB2312" w:eastAsia="仿宋_GB2312" w:hint="eastAsia"/>
          <w:sz w:val="32"/>
          <w:szCs w:val="32"/>
        </w:rPr>
        <w:t>，其中：授予小微企业合同金额</w:t>
      </w:r>
      <w:r>
        <w:rPr>
          <w:rFonts w:ascii="仿宋_GB2312" w:eastAsia="仿宋_GB2312" w:hint="eastAsia"/>
          <w:sz w:val="32"/>
          <w:szCs w:val="32"/>
        </w:rPr>
        <w:t>4.80</w:t>
      </w:r>
      <w:r>
        <w:rPr>
          <w:rFonts w:ascii="仿宋_GB2312" w:eastAsia="仿宋_GB2312" w:hint="eastAsia"/>
          <w:sz w:val="32"/>
          <w:szCs w:val="32"/>
        </w:rPr>
        <w:t>万元，占政府采购支总额的</w:t>
      </w:r>
      <w:r>
        <w:rPr>
          <w:rFonts w:ascii="仿宋_GB2312" w:eastAsia="仿宋_GB2312" w:hint="eastAsia"/>
          <w:sz w:val="32"/>
          <w:szCs w:val="32"/>
        </w:rPr>
        <w:t>41.13%</w:t>
      </w:r>
      <w:r>
        <w:rPr>
          <w:rFonts w:ascii="仿宋_GB2312" w:eastAsia="仿宋_GB2312" w:hint="eastAsia"/>
          <w:sz w:val="32"/>
          <w:szCs w:val="32"/>
        </w:rPr>
        <w:t>。</w:t>
      </w:r>
    </w:p>
    <w:p w:rsidR="0036485F" w:rsidRDefault="00667E9C">
      <w:pPr>
        <w:ind w:firstLineChars="200" w:firstLine="640"/>
        <w:outlineLvl w:val="2"/>
        <w:rPr>
          <w:rFonts w:ascii="黑体" w:eastAsia="黑体" w:hAnsi="黑体"/>
          <w:sz w:val="32"/>
          <w:szCs w:val="32"/>
        </w:rPr>
      </w:pPr>
      <w:bookmarkStart w:id="31" w:name="_Toc4591"/>
      <w:bookmarkStart w:id="32" w:name="_Toc8391"/>
      <w:r>
        <w:rPr>
          <w:rFonts w:ascii="黑体" w:eastAsia="黑体" w:hAnsi="黑体" w:hint="eastAsia"/>
          <w:sz w:val="32"/>
          <w:szCs w:val="32"/>
        </w:rPr>
        <w:t>（三）国有资产占用情况说明</w:t>
      </w:r>
      <w:bookmarkEnd w:id="31"/>
      <w:bookmarkEnd w:id="32"/>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截止</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固定资产原值</w:t>
      </w:r>
      <w:r>
        <w:rPr>
          <w:rFonts w:ascii="仿宋_GB2312" w:eastAsia="仿宋_GB2312" w:hint="eastAsia"/>
          <w:sz w:val="32"/>
          <w:szCs w:val="32"/>
        </w:rPr>
        <w:t>535.56</w:t>
      </w:r>
      <w:r>
        <w:rPr>
          <w:rFonts w:ascii="仿宋_GB2312" w:eastAsia="仿宋_GB2312" w:hint="eastAsia"/>
          <w:sz w:val="32"/>
          <w:szCs w:val="32"/>
        </w:rPr>
        <w:t>万元，房</w:t>
      </w:r>
      <w:r>
        <w:rPr>
          <w:rFonts w:ascii="仿宋_GB2312" w:eastAsia="仿宋_GB2312" w:hint="eastAsia"/>
          <w:sz w:val="32"/>
          <w:szCs w:val="32"/>
        </w:rPr>
        <w:t>屋</w:t>
      </w:r>
      <w:r>
        <w:rPr>
          <w:rFonts w:ascii="仿宋_GB2312" w:eastAsia="仿宋_GB2312" w:hint="eastAsia"/>
          <w:sz w:val="32"/>
          <w:szCs w:val="32"/>
        </w:rPr>
        <w:t>3719</w:t>
      </w:r>
      <w:r>
        <w:rPr>
          <w:rFonts w:ascii="仿宋_GB2312" w:eastAsia="仿宋_GB2312" w:hint="eastAsia"/>
          <w:sz w:val="32"/>
          <w:szCs w:val="32"/>
        </w:rPr>
        <w:t>平方米</w:t>
      </w:r>
      <w:r>
        <w:rPr>
          <w:rFonts w:ascii="仿宋_GB2312" w:eastAsia="仿宋_GB2312" w:hint="eastAsia"/>
          <w:sz w:val="32"/>
          <w:szCs w:val="32"/>
        </w:rPr>
        <w:t>，价值</w:t>
      </w:r>
      <w:r>
        <w:rPr>
          <w:rFonts w:ascii="仿宋_GB2312" w:eastAsia="仿宋_GB2312" w:hint="eastAsia"/>
          <w:sz w:val="32"/>
          <w:szCs w:val="32"/>
        </w:rPr>
        <w:t>185.50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车辆</w:t>
      </w:r>
      <w:r>
        <w:rPr>
          <w:rFonts w:ascii="仿宋_GB2312" w:eastAsia="仿宋_GB2312" w:hint="eastAsia"/>
          <w:sz w:val="32"/>
          <w:szCs w:val="32"/>
        </w:rPr>
        <w:t>16</w:t>
      </w:r>
      <w:r>
        <w:rPr>
          <w:rFonts w:ascii="仿宋_GB2312" w:eastAsia="仿宋_GB2312" w:hint="eastAsia"/>
          <w:sz w:val="32"/>
          <w:szCs w:val="32"/>
        </w:rPr>
        <w:t>辆，价</w:t>
      </w:r>
      <w:r>
        <w:rPr>
          <w:rFonts w:ascii="仿宋_GB2312" w:eastAsia="仿宋_GB2312" w:hint="eastAsia"/>
          <w:sz w:val="32"/>
          <w:szCs w:val="32"/>
        </w:rPr>
        <w:t>值</w:t>
      </w:r>
      <w:r>
        <w:rPr>
          <w:rFonts w:ascii="仿宋_GB2312" w:eastAsia="仿宋_GB2312" w:hint="eastAsia"/>
          <w:sz w:val="32"/>
          <w:szCs w:val="32"/>
        </w:rPr>
        <w:t>257.56</w:t>
      </w:r>
      <w:r>
        <w:rPr>
          <w:rFonts w:ascii="仿宋_GB2312" w:eastAsia="仿宋_GB2312" w:hint="eastAsia"/>
          <w:sz w:val="32"/>
          <w:szCs w:val="32"/>
        </w:rPr>
        <w:t>万元，其中：副部（省）级及以上领导用车</w:t>
      </w:r>
      <w:r>
        <w:rPr>
          <w:rFonts w:ascii="仿宋_GB2312" w:eastAsia="仿宋_GB2312" w:hint="eastAsia"/>
          <w:sz w:val="32"/>
          <w:szCs w:val="32"/>
        </w:rPr>
        <w:t>0</w:t>
      </w:r>
      <w:r>
        <w:rPr>
          <w:rFonts w:ascii="仿宋_GB2312" w:eastAsia="仿宋_GB2312" w:hint="eastAsia"/>
          <w:sz w:val="32"/>
          <w:szCs w:val="32"/>
        </w:rPr>
        <w:t>辆、主要领导干部用车</w:t>
      </w:r>
      <w:r>
        <w:rPr>
          <w:rFonts w:ascii="仿宋_GB2312" w:eastAsia="仿宋_GB2312" w:hint="eastAsia"/>
          <w:sz w:val="32"/>
          <w:szCs w:val="32"/>
        </w:rPr>
        <w:t>0</w:t>
      </w:r>
      <w:r>
        <w:rPr>
          <w:rFonts w:ascii="仿宋_GB2312" w:eastAsia="仿宋_GB2312" w:hint="eastAsia"/>
          <w:sz w:val="32"/>
          <w:szCs w:val="32"/>
        </w:rPr>
        <w:t>辆、机</w:t>
      </w:r>
      <w:r>
        <w:rPr>
          <w:rFonts w:ascii="仿宋_GB2312" w:eastAsia="仿宋_GB2312" w:hint="eastAsia"/>
          <w:sz w:val="32"/>
          <w:szCs w:val="32"/>
        </w:rPr>
        <w:lastRenderedPageBreak/>
        <w:t>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辆、离退休干部用车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16</w:t>
      </w:r>
      <w:r>
        <w:rPr>
          <w:rFonts w:ascii="仿宋_GB2312" w:eastAsia="仿宋_GB2312" w:hint="eastAsia"/>
          <w:sz w:val="32"/>
          <w:szCs w:val="32"/>
        </w:rPr>
        <w:t>辆，其他用车主要是：大中型客车</w:t>
      </w:r>
      <w:r>
        <w:rPr>
          <w:rFonts w:ascii="仿宋_GB2312" w:eastAsia="仿宋_GB2312" w:hint="eastAsia"/>
          <w:sz w:val="32"/>
          <w:szCs w:val="32"/>
        </w:rPr>
        <w:t>、攀登车、打药车、轿车等</w:t>
      </w:r>
      <w:r>
        <w:rPr>
          <w:rFonts w:ascii="仿宋_GB2312" w:eastAsia="仿宋_GB2312" w:hint="eastAsia"/>
          <w:sz w:val="32"/>
          <w:szCs w:val="32"/>
        </w:rPr>
        <w:t>；单价</w:t>
      </w:r>
      <w:r>
        <w:rPr>
          <w:rFonts w:ascii="仿宋_GB2312" w:eastAsia="仿宋_GB2312" w:hint="eastAsia"/>
          <w:sz w:val="32"/>
          <w:szCs w:val="32"/>
        </w:rPr>
        <w:t>100</w:t>
      </w:r>
      <w:r>
        <w:rPr>
          <w:rFonts w:ascii="仿宋_GB2312" w:eastAsia="仿宋_GB2312" w:hint="eastAsia"/>
          <w:sz w:val="32"/>
          <w:szCs w:val="32"/>
        </w:rPr>
        <w:t>万元（含）以上设备（不含车辆）</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hint="eastAsia"/>
          <w:sz w:val="32"/>
          <w:szCs w:val="32"/>
        </w:rPr>
        <w:t>套）。</w:t>
      </w:r>
    </w:p>
    <w:p w:rsidR="0036485F" w:rsidRDefault="00667E9C">
      <w:pPr>
        <w:ind w:firstLineChars="200" w:firstLine="640"/>
        <w:outlineLvl w:val="1"/>
        <w:rPr>
          <w:rFonts w:ascii="黑体" w:eastAsia="黑体" w:hAnsi="黑体" w:cs="宋体"/>
          <w:bCs/>
          <w:kern w:val="0"/>
          <w:sz w:val="32"/>
          <w:szCs w:val="32"/>
        </w:rPr>
      </w:pPr>
      <w:bookmarkStart w:id="33" w:name="_Toc11283"/>
      <w:bookmarkStart w:id="34" w:name="_Toc435"/>
      <w:r>
        <w:rPr>
          <w:rFonts w:ascii="黑体" w:eastAsia="黑体" w:hAnsi="黑体" w:cs="宋体" w:hint="eastAsia"/>
          <w:bCs/>
          <w:kern w:val="0"/>
          <w:sz w:val="32"/>
          <w:szCs w:val="32"/>
        </w:rPr>
        <w:t>十</w:t>
      </w:r>
      <w:r>
        <w:rPr>
          <w:rFonts w:ascii="黑体" w:eastAsia="黑体" w:hAnsi="黑体" w:cs="宋体" w:hint="eastAsia"/>
          <w:bCs/>
          <w:kern w:val="0"/>
          <w:sz w:val="32"/>
          <w:szCs w:val="32"/>
        </w:rPr>
        <w:t>一</w:t>
      </w:r>
      <w:r>
        <w:rPr>
          <w:rFonts w:ascii="黑体" w:eastAsia="黑体" w:hAnsi="黑体" w:cs="宋体" w:hint="eastAsia"/>
          <w:bCs/>
          <w:kern w:val="0"/>
          <w:sz w:val="32"/>
          <w:szCs w:val="32"/>
        </w:rPr>
        <w:t>、预算绩效的情况说明</w:t>
      </w:r>
      <w:bookmarkEnd w:id="33"/>
      <w:bookmarkEnd w:id="34"/>
    </w:p>
    <w:p w:rsidR="0036485F" w:rsidRDefault="00667E9C">
      <w:pPr>
        <w:ind w:firstLineChars="200" w:firstLine="640"/>
        <w:rPr>
          <w:rFonts w:ascii="仿宋_GB2312" w:eastAsia="仿宋_GB2312"/>
          <w:sz w:val="32"/>
          <w:szCs w:val="32"/>
        </w:rPr>
        <w:sectPr w:rsidR="0036485F">
          <w:pgSz w:w="12240" w:h="15840"/>
          <w:pgMar w:top="1440" w:right="1800" w:bottom="1440" w:left="1800" w:header="720" w:footer="720" w:gutter="0"/>
          <w:cols w:space="720"/>
        </w:sectPr>
      </w:pPr>
      <w:r>
        <w:rPr>
          <w:rFonts w:ascii="仿宋_GB2312" w:eastAsia="仿宋_GB2312" w:hint="eastAsia"/>
          <w:sz w:val="32"/>
          <w:szCs w:val="32"/>
        </w:rPr>
        <w:t>根据预算绩效管理要求，我单位</w:t>
      </w:r>
      <w:r>
        <w:rPr>
          <w:rFonts w:ascii="仿宋_GB2312" w:eastAsia="仿宋_GB2312" w:hint="eastAsia"/>
          <w:sz w:val="32"/>
          <w:szCs w:val="32"/>
        </w:rPr>
        <w:t>2022</w:t>
      </w:r>
      <w:r>
        <w:rPr>
          <w:rFonts w:ascii="仿宋_GB2312" w:eastAsia="仿宋_GB2312" w:hint="eastAsia"/>
          <w:sz w:val="32"/>
          <w:szCs w:val="32"/>
        </w:rPr>
        <w:t>年度开展预算绩效评价项目</w:t>
      </w:r>
      <w:r>
        <w:rPr>
          <w:rFonts w:ascii="仿宋_GB2312" w:eastAsia="仿宋_GB2312" w:hint="eastAsia"/>
          <w:sz w:val="32"/>
          <w:szCs w:val="32"/>
        </w:rPr>
        <w:t>3</w:t>
      </w:r>
      <w:r>
        <w:rPr>
          <w:rFonts w:ascii="仿宋_GB2312" w:eastAsia="仿宋_GB2312" w:hint="eastAsia"/>
          <w:sz w:val="32"/>
          <w:szCs w:val="32"/>
        </w:rPr>
        <w:t>个，全年预算数</w:t>
      </w:r>
      <w:r>
        <w:rPr>
          <w:rFonts w:ascii="仿宋_GB2312" w:eastAsia="仿宋_GB2312" w:hint="eastAsia"/>
          <w:sz w:val="32"/>
          <w:szCs w:val="32"/>
        </w:rPr>
        <w:t>125.90</w:t>
      </w:r>
      <w:r>
        <w:rPr>
          <w:rFonts w:ascii="仿宋_GB2312" w:eastAsia="仿宋_GB2312" w:hint="eastAsia"/>
          <w:sz w:val="32"/>
          <w:szCs w:val="32"/>
        </w:rPr>
        <w:t>万元，全年执行数</w:t>
      </w:r>
      <w:r>
        <w:rPr>
          <w:rFonts w:ascii="仿宋_GB2312" w:eastAsia="仿宋_GB2312" w:hint="eastAsia"/>
          <w:sz w:val="32"/>
          <w:szCs w:val="32"/>
        </w:rPr>
        <w:t>121.30</w:t>
      </w:r>
      <w:r>
        <w:rPr>
          <w:rFonts w:ascii="仿宋_GB2312" w:eastAsia="仿宋_GB2312" w:hint="eastAsia"/>
          <w:sz w:val="32"/>
          <w:szCs w:val="32"/>
        </w:rPr>
        <w:t>万元。预算绩效管理取得的成效：预算绩效管理取得的成效：一是加强了对绩效监控工作重要性的宣传。充分利用政府门户站、财政相关会议和各类财政培训，加强了绩效监控工作的宣传力度，倡导预算绩效管理理念，有效的引导各部门人员了解支持预算绩效管理、监督绩效结果应用，共同营造出“讲绩效、重绩效、用绩效”的良好氛围；二是加强了人员培训，完善绩效评价监控的人员岗前培训及落实，提高了绩效监控工作人员对预算绩效管理的</w:t>
      </w:r>
      <w:r>
        <w:rPr>
          <w:rFonts w:ascii="仿宋_GB2312" w:eastAsia="仿宋_GB2312" w:hint="eastAsia"/>
          <w:sz w:val="32"/>
          <w:szCs w:val="32"/>
        </w:rPr>
        <w:t>思想认识和业务能力，进一步的改进工作方式，提升了工作水平和工作效率。发现的问题及原因：一是预算执行控制不严格，预算填报财务未复核。实际执行过程没有严格按照预算实施方案进度执行；二是资产管理工作有待加强。下一步改进措施：一是规范资产管理制度，强化固定资产管理意识。加强使用单位工作人员的固定资产管理知识的教育培训，自觉遵守固定资产管理的相关政策法规</w:t>
      </w:r>
      <w:r>
        <w:rPr>
          <w:rFonts w:ascii="仿宋_GB2312" w:eastAsia="仿宋_GB2312" w:hint="eastAsia"/>
          <w:sz w:val="32"/>
          <w:szCs w:val="32"/>
        </w:rPr>
        <w:t>,</w:t>
      </w:r>
      <w:r>
        <w:rPr>
          <w:rFonts w:ascii="仿宋_GB2312" w:eastAsia="仿宋_GB2312" w:hint="eastAsia"/>
          <w:sz w:val="32"/>
          <w:szCs w:val="32"/>
        </w:rPr>
        <w:t>采取有效的措施加强固定资产管理，保证固定资产的合理配置，提高固定资产使用效率。以专人负责单位的固定资产管理工作，保证固定资产管理水平的不断提高；二是积极开展预算绩效</w:t>
      </w:r>
      <w:r>
        <w:rPr>
          <w:rFonts w:ascii="仿宋_GB2312" w:eastAsia="仿宋_GB2312" w:hint="eastAsia"/>
          <w:sz w:val="32"/>
          <w:szCs w:val="32"/>
        </w:rPr>
        <w:t>管理，督促各实施单位将在预算编制环节通过事前评价的方式，发现并剔除评价不高的项目，避免了财政资金的浪费。加强在财政资金支出过程中，及时根据资金使用进度考核阶段性目标的完成情况；项目结束后，根据事前设定的绩效目标科学评判支出的效果，并将评价结果合理运用于来年的预算编制中。具体项目自评情况附项目支出绩效自评表。</w:t>
      </w:r>
    </w:p>
    <w:p w:rsidR="0036485F" w:rsidRDefault="00667E9C">
      <w:pPr>
        <w:shd w:val="clear" w:color="auto" w:fill="FFFFFF"/>
        <w:ind w:firstLine="640"/>
      </w:pPr>
      <w:r>
        <w:rPr>
          <w:noProof/>
        </w:rPr>
        <w:lastRenderedPageBreak/>
        <w:drawing>
          <wp:inline distT="0" distB="0" distL="114300" distR="114300">
            <wp:extent cx="5313045" cy="4895850"/>
            <wp:effectExtent l="0" t="0" r="190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313045" cy="4895850"/>
                    </a:xfrm>
                    <a:prstGeom prst="rect">
                      <a:avLst/>
                    </a:prstGeom>
                    <a:noFill/>
                    <a:ln>
                      <a:noFill/>
                    </a:ln>
                  </pic:spPr>
                </pic:pic>
              </a:graphicData>
            </a:graphic>
          </wp:inline>
        </w:drawing>
      </w:r>
    </w:p>
    <w:p w:rsidR="0036485F" w:rsidRDefault="00667E9C">
      <w:r>
        <w:br w:type="page"/>
      </w:r>
    </w:p>
    <w:p w:rsidR="0036485F" w:rsidRDefault="0036485F">
      <w:pPr>
        <w:shd w:val="clear" w:color="auto" w:fill="FFFFFF"/>
        <w:ind w:firstLine="640"/>
        <w:sectPr w:rsidR="0036485F">
          <w:pgSz w:w="12240" w:h="15840"/>
          <w:pgMar w:top="1440" w:right="1800" w:bottom="1440" w:left="1800" w:header="720" w:footer="720" w:gutter="0"/>
          <w:cols w:space="720"/>
        </w:sectPr>
      </w:pPr>
    </w:p>
    <w:p w:rsidR="0036485F" w:rsidRDefault="00667E9C">
      <w:pPr>
        <w:outlineLvl w:val="0"/>
      </w:pPr>
      <w:bookmarkStart w:id="35" w:name="_Toc24143"/>
      <w:bookmarkStart w:id="36" w:name="_Toc3250"/>
      <w:r>
        <w:rPr>
          <w:noProof/>
        </w:rPr>
        <w:lastRenderedPageBreak/>
        <w:drawing>
          <wp:inline distT="0" distB="0" distL="114300" distR="114300">
            <wp:extent cx="5267325" cy="5465445"/>
            <wp:effectExtent l="0" t="0" r="9525" b="19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7325" cy="5465445"/>
                    </a:xfrm>
                    <a:prstGeom prst="rect">
                      <a:avLst/>
                    </a:prstGeom>
                    <a:noFill/>
                    <a:ln>
                      <a:noFill/>
                    </a:ln>
                  </pic:spPr>
                </pic:pic>
              </a:graphicData>
            </a:graphic>
          </wp:inline>
        </w:drawing>
      </w:r>
    </w:p>
    <w:p w:rsidR="0036485F" w:rsidRDefault="00667E9C">
      <w:r>
        <w:br w:type="page"/>
      </w:r>
    </w:p>
    <w:p w:rsidR="0036485F" w:rsidRDefault="00667E9C">
      <w:pPr>
        <w:outlineLvl w:val="0"/>
        <w:rPr>
          <w:rFonts w:ascii="黑体" w:eastAsia="黑体" w:hAnsi="黑体"/>
          <w:sz w:val="32"/>
          <w:szCs w:val="32"/>
        </w:rPr>
      </w:pPr>
      <w:r>
        <w:rPr>
          <w:noProof/>
        </w:rPr>
        <w:lastRenderedPageBreak/>
        <w:drawing>
          <wp:inline distT="0" distB="0" distL="114300" distR="114300">
            <wp:extent cx="5266055" cy="5415915"/>
            <wp:effectExtent l="0" t="0" r="10795"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6055" cy="5415915"/>
                    </a:xfrm>
                    <a:prstGeom prst="rect">
                      <a:avLst/>
                    </a:prstGeom>
                    <a:noFill/>
                    <a:ln>
                      <a:noFill/>
                    </a:ln>
                  </pic:spPr>
                </pic:pic>
              </a:graphicData>
            </a:graphic>
          </wp:inline>
        </w:drawing>
      </w:r>
      <w:r>
        <w:rPr>
          <w:rFonts w:ascii="黑体" w:eastAsia="黑体" w:hAnsi="黑体" w:hint="eastAsia"/>
          <w:sz w:val="32"/>
          <w:szCs w:val="32"/>
        </w:rPr>
        <w:br w:type="page"/>
      </w: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专业名词解释</w:t>
      </w:r>
      <w:bookmarkEnd w:id="35"/>
      <w:bookmarkEnd w:id="36"/>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w:t>
      </w:r>
      <w:r>
        <w:rPr>
          <w:rFonts w:ascii="仿宋_GB2312" w:eastAsia="仿宋_GB2312" w:hint="eastAsia"/>
          <w:sz w:val="32"/>
          <w:szCs w:val="32"/>
        </w:rPr>
        <w:t>辅助活动所取得的收入。</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w:t>
      </w:r>
      <w:r>
        <w:rPr>
          <w:rFonts w:ascii="仿宋_GB2312" w:eastAsia="仿宋_GB2312" w:hint="eastAsia"/>
          <w:sz w:val="32"/>
          <w:szCs w:val="32"/>
        </w:rPr>
        <w:t>结转和结余：指以前年度支出预算因客观条件变化未执行完毕、结转到本年度按有关规定继续使用的资金，既包括财政拨款结转和结余，也包括事业收入、经营收入、其他收入的结转和结余。</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36485F" w:rsidRDefault="00667E9C">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“三公”经费：指用财政拨款安排的因公出国（境）费、公务用车购置及运行费和公务接待费。其中，因公出国（境）费反映单位公务出国（境）的</w:t>
      </w:r>
      <w:r>
        <w:rPr>
          <w:rFonts w:ascii="仿宋_GB2312" w:eastAsia="仿宋_GB2312" w:hint="eastAsia"/>
          <w:sz w:val="32"/>
          <w:szCs w:val="32"/>
        </w:rPr>
        <w:t>国际旅费、国外城市间交通费、</w:t>
      </w:r>
      <w:r>
        <w:rPr>
          <w:rFonts w:ascii="仿宋_GB2312" w:eastAsia="仿宋_GB2312" w:hint="eastAsia"/>
          <w:sz w:val="32"/>
          <w:szCs w:val="32"/>
        </w:rPr>
        <w:t>住宿费、伙食费、培训费、</w:t>
      </w:r>
      <w:r>
        <w:rPr>
          <w:rFonts w:ascii="仿宋_GB2312" w:eastAsia="仿宋_GB2312" w:hint="eastAsia"/>
          <w:sz w:val="32"/>
          <w:szCs w:val="32"/>
        </w:rPr>
        <w:t>公</w:t>
      </w:r>
      <w:r>
        <w:rPr>
          <w:rFonts w:ascii="仿宋_GB2312" w:eastAsia="仿宋_GB2312" w:hint="eastAsia"/>
          <w:sz w:val="32"/>
          <w:szCs w:val="32"/>
        </w:rPr>
        <w:t>杂费等支出；公务用车购置费</w:t>
      </w:r>
      <w:r>
        <w:rPr>
          <w:rFonts w:ascii="仿宋_GB2312" w:eastAsia="仿宋_GB2312" w:hint="eastAsia"/>
          <w:sz w:val="32"/>
          <w:szCs w:val="32"/>
        </w:rPr>
        <w:t>反映公务用车购置支出（含车辆购置税、牌照费）；</w:t>
      </w:r>
      <w:r>
        <w:rPr>
          <w:rFonts w:ascii="仿宋_GB2312" w:eastAsia="仿宋_GB2312" w:hint="eastAsia"/>
          <w:sz w:val="32"/>
          <w:szCs w:val="32"/>
        </w:rPr>
        <w:t>公务用车运行</w:t>
      </w:r>
      <w:r>
        <w:rPr>
          <w:rFonts w:ascii="仿宋_GB2312" w:eastAsia="仿宋_GB2312" w:hint="eastAsia"/>
          <w:sz w:val="32"/>
          <w:szCs w:val="32"/>
        </w:rPr>
        <w:t>维护</w:t>
      </w:r>
      <w:r>
        <w:rPr>
          <w:rFonts w:ascii="仿宋_GB2312" w:eastAsia="仿宋_GB2312" w:hint="eastAsia"/>
          <w:sz w:val="32"/>
          <w:szCs w:val="32"/>
        </w:rPr>
        <w:t>费反映</w:t>
      </w:r>
      <w:r>
        <w:rPr>
          <w:rFonts w:ascii="仿宋_GB2312" w:eastAsia="仿宋_GB2312" w:hint="eastAsia"/>
          <w:sz w:val="32"/>
          <w:szCs w:val="32"/>
        </w:rPr>
        <w:t>单位按规定保留的公务用车燃料费、维修费、</w:t>
      </w:r>
      <w:r>
        <w:rPr>
          <w:rFonts w:ascii="仿宋_GB2312" w:eastAsia="仿宋_GB2312" w:hint="eastAsia"/>
          <w:sz w:val="32"/>
          <w:szCs w:val="32"/>
        </w:rPr>
        <w:t>过路过桥费、保险费、安全奖励费用等支出</w:t>
      </w:r>
      <w:r>
        <w:rPr>
          <w:rFonts w:ascii="仿宋_GB2312" w:eastAsia="仿宋_GB2312" w:hint="eastAsia"/>
          <w:sz w:val="32"/>
          <w:szCs w:val="32"/>
        </w:rPr>
        <w:t>；</w:t>
      </w:r>
      <w:r>
        <w:rPr>
          <w:rFonts w:ascii="仿宋_GB2312" w:eastAsia="仿宋_GB2312" w:hint="eastAsia"/>
          <w:sz w:val="32"/>
          <w:szCs w:val="32"/>
        </w:rPr>
        <w:t>公务接待费反映单位按规定开支的各类公务接待（含外宾接待）</w:t>
      </w:r>
      <w:r>
        <w:rPr>
          <w:rFonts w:ascii="仿宋_GB2312" w:eastAsia="仿宋_GB2312" w:hint="eastAsia"/>
          <w:sz w:val="32"/>
          <w:szCs w:val="32"/>
        </w:rPr>
        <w:t>费用</w:t>
      </w:r>
      <w:r>
        <w:rPr>
          <w:rFonts w:ascii="仿宋_GB2312" w:eastAsia="仿宋_GB2312" w:hint="eastAsia"/>
          <w:sz w:val="32"/>
          <w:szCs w:val="32"/>
        </w:rPr>
        <w:t>。</w:t>
      </w:r>
    </w:p>
    <w:p w:rsidR="0036485F" w:rsidRDefault="00667E9C">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36485F" w:rsidRDefault="00667E9C">
      <w:pPr>
        <w:ind w:firstLineChars="200" w:firstLine="640"/>
        <w:jc w:val="center"/>
        <w:outlineLvl w:val="0"/>
        <w:rPr>
          <w:rFonts w:ascii="黑体" w:eastAsia="黑体" w:hAnsi="黑体"/>
          <w:sz w:val="32"/>
          <w:szCs w:val="32"/>
        </w:rPr>
      </w:pPr>
      <w:bookmarkStart w:id="37" w:name="_Toc28903"/>
      <w:bookmarkStart w:id="38" w:name="_Toc22784"/>
      <w:r>
        <w:rPr>
          <w:rFonts w:ascii="黑体" w:eastAsia="黑体" w:hAnsi="黑体" w:hint="eastAsia"/>
          <w:sz w:val="32"/>
          <w:szCs w:val="32"/>
        </w:rPr>
        <w:br w:type="page"/>
      </w:r>
      <w:r>
        <w:rPr>
          <w:rFonts w:ascii="黑体" w:eastAsia="黑体" w:hAnsi="黑体" w:hint="eastAsia"/>
          <w:sz w:val="32"/>
          <w:szCs w:val="32"/>
        </w:rPr>
        <w:lastRenderedPageBreak/>
        <w:t>第四部分</w:t>
      </w:r>
      <w:r>
        <w:rPr>
          <w:rFonts w:ascii="黑体" w:eastAsia="黑体" w:hAnsi="黑体" w:hint="eastAsia"/>
          <w:sz w:val="32"/>
          <w:szCs w:val="32"/>
        </w:rPr>
        <w:t xml:space="preserve"> </w:t>
      </w:r>
      <w:r>
        <w:rPr>
          <w:rFonts w:ascii="黑体" w:eastAsia="黑体" w:hAnsi="黑体" w:hint="eastAsia"/>
          <w:sz w:val="32"/>
          <w:szCs w:val="32"/>
        </w:rPr>
        <w:t>部门决算报表（见附表）</w:t>
      </w:r>
      <w:bookmarkEnd w:id="37"/>
      <w:bookmarkEnd w:id="38"/>
    </w:p>
    <w:p w:rsidR="0036485F" w:rsidRDefault="00667E9C">
      <w:pPr>
        <w:ind w:firstLineChars="200" w:firstLine="640"/>
        <w:outlineLvl w:val="1"/>
        <w:rPr>
          <w:rFonts w:ascii="黑体" w:eastAsia="黑体" w:hAnsi="黑体" w:cs="宋体"/>
          <w:bCs/>
          <w:kern w:val="0"/>
          <w:sz w:val="32"/>
          <w:szCs w:val="32"/>
        </w:rPr>
      </w:pPr>
      <w:bookmarkStart w:id="39" w:name="_Toc6062"/>
      <w:bookmarkStart w:id="40" w:name="_Toc2183"/>
      <w:r>
        <w:rPr>
          <w:rFonts w:ascii="黑体" w:eastAsia="黑体" w:hAnsi="黑体" w:cs="宋体" w:hint="eastAsia"/>
          <w:bCs/>
          <w:kern w:val="0"/>
          <w:sz w:val="32"/>
          <w:szCs w:val="32"/>
        </w:rPr>
        <w:t>一、《收入支出决算总表》</w:t>
      </w:r>
      <w:bookmarkEnd w:id="39"/>
      <w:bookmarkEnd w:id="40"/>
    </w:p>
    <w:p w:rsidR="0036485F" w:rsidRDefault="00667E9C">
      <w:pPr>
        <w:ind w:firstLineChars="200" w:firstLine="640"/>
        <w:outlineLvl w:val="1"/>
        <w:rPr>
          <w:rFonts w:ascii="黑体" w:eastAsia="黑体" w:hAnsi="黑体" w:cs="宋体"/>
          <w:bCs/>
          <w:kern w:val="0"/>
          <w:sz w:val="32"/>
          <w:szCs w:val="32"/>
        </w:rPr>
      </w:pPr>
      <w:bookmarkStart w:id="41" w:name="_Toc24532"/>
      <w:bookmarkStart w:id="42" w:name="_Toc30364"/>
      <w:r>
        <w:rPr>
          <w:rFonts w:ascii="黑体" w:eastAsia="黑体" w:hAnsi="黑体" w:cs="宋体" w:hint="eastAsia"/>
          <w:bCs/>
          <w:kern w:val="0"/>
          <w:sz w:val="32"/>
          <w:szCs w:val="32"/>
        </w:rPr>
        <w:t>二、《收入决算表》</w:t>
      </w:r>
      <w:bookmarkEnd w:id="41"/>
      <w:bookmarkEnd w:id="42"/>
    </w:p>
    <w:p w:rsidR="0036485F" w:rsidRDefault="00667E9C">
      <w:pPr>
        <w:ind w:firstLineChars="200" w:firstLine="640"/>
        <w:outlineLvl w:val="1"/>
        <w:rPr>
          <w:rFonts w:ascii="黑体" w:eastAsia="黑体" w:hAnsi="黑体" w:cs="宋体"/>
          <w:bCs/>
          <w:kern w:val="0"/>
          <w:sz w:val="32"/>
          <w:szCs w:val="32"/>
        </w:rPr>
      </w:pPr>
      <w:bookmarkStart w:id="43" w:name="_Toc21304"/>
      <w:bookmarkStart w:id="44" w:name="_Toc32434"/>
      <w:r>
        <w:rPr>
          <w:rFonts w:ascii="黑体" w:eastAsia="黑体" w:hAnsi="黑体" w:cs="宋体" w:hint="eastAsia"/>
          <w:bCs/>
          <w:kern w:val="0"/>
          <w:sz w:val="32"/>
          <w:szCs w:val="32"/>
        </w:rPr>
        <w:t>三、《支出决算表》</w:t>
      </w:r>
      <w:bookmarkEnd w:id="43"/>
      <w:bookmarkEnd w:id="44"/>
    </w:p>
    <w:p w:rsidR="0036485F" w:rsidRDefault="00667E9C">
      <w:pPr>
        <w:ind w:firstLineChars="200" w:firstLine="640"/>
        <w:outlineLvl w:val="1"/>
        <w:rPr>
          <w:rFonts w:ascii="黑体" w:eastAsia="黑体" w:hAnsi="黑体" w:cs="宋体"/>
          <w:bCs/>
          <w:kern w:val="0"/>
          <w:sz w:val="32"/>
          <w:szCs w:val="32"/>
        </w:rPr>
      </w:pPr>
      <w:bookmarkStart w:id="45" w:name="_Toc28786"/>
      <w:bookmarkStart w:id="46" w:name="_Toc14238"/>
      <w:r>
        <w:rPr>
          <w:rFonts w:ascii="黑体" w:eastAsia="黑体" w:hAnsi="黑体" w:cs="宋体" w:hint="eastAsia"/>
          <w:bCs/>
          <w:kern w:val="0"/>
          <w:sz w:val="32"/>
          <w:szCs w:val="32"/>
        </w:rPr>
        <w:t>四、《财政拨款收入支出决算总表》</w:t>
      </w:r>
      <w:bookmarkEnd w:id="45"/>
      <w:bookmarkEnd w:id="46"/>
    </w:p>
    <w:p w:rsidR="0036485F" w:rsidRDefault="00667E9C">
      <w:pPr>
        <w:ind w:firstLineChars="200" w:firstLine="640"/>
        <w:outlineLvl w:val="1"/>
        <w:rPr>
          <w:rFonts w:ascii="黑体" w:eastAsia="黑体" w:hAnsi="黑体" w:cs="宋体"/>
          <w:bCs/>
          <w:kern w:val="0"/>
          <w:sz w:val="32"/>
          <w:szCs w:val="32"/>
        </w:rPr>
      </w:pPr>
      <w:bookmarkStart w:id="47" w:name="_Toc14869"/>
      <w:bookmarkStart w:id="48" w:name="_Toc10347"/>
      <w:r>
        <w:rPr>
          <w:rFonts w:ascii="黑体" w:eastAsia="黑体" w:hAnsi="黑体" w:cs="宋体" w:hint="eastAsia"/>
          <w:bCs/>
          <w:kern w:val="0"/>
          <w:sz w:val="32"/>
          <w:szCs w:val="32"/>
        </w:rPr>
        <w:t>五、《一般公共预算财政拨款支出决算表》</w:t>
      </w:r>
      <w:bookmarkEnd w:id="47"/>
      <w:bookmarkEnd w:id="48"/>
    </w:p>
    <w:p w:rsidR="0036485F" w:rsidRDefault="00667E9C">
      <w:pPr>
        <w:ind w:firstLineChars="200" w:firstLine="640"/>
        <w:outlineLvl w:val="1"/>
        <w:rPr>
          <w:rFonts w:ascii="黑体" w:eastAsia="黑体" w:hAnsi="黑体" w:cs="宋体"/>
          <w:bCs/>
          <w:kern w:val="0"/>
          <w:sz w:val="32"/>
          <w:szCs w:val="32"/>
        </w:rPr>
      </w:pPr>
      <w:bookmarkStart w:id="49" w:name="_Toc5626"/>
      <w:bookmarkStart w:id="50" w:name="_Toc8884"/>
      <w:r>
        <w:rPr>
          <w:rFonts w:ascii="黑体" w:eastAsia="黑体" w:hAnsi="黑体" w:cs="宋体" w:hint="eastAsia"/>
          <w:bCs/>
          <w:kern w:val="0"/>
          <w:sz w:val="32"/>
          <w:szCs w:val="32"/>
        </w:rPr>
        <w:t>六、《一般公共预算财政拨款基本支出决算表》</w:t>
      </w:r>
      <w:bookmarkEnd w:id="49"/>
      <w:bookmarkEnd w:id="50"/>
    </w:p>
    <w:p w:rsidR="0036485F" w:rsidRDefault="00667E9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1" w:name="_Toc29106"/>
      <w:bookmarkStart w:id="52" w:name="_Toc32663"/>
      <w:r>
        <w:rPr>
          <w:rFonts w:ascii="黑体" w:eastAsia="黑体" w:hAnsi="黑体" w:cs="宋体" w:hint="eastAsia"/>
          <w:bCs/>
          <w:kern w:val="0"/>
          <w:sz w:val="32"/>
          <w:szCs w:val="32"/>
        </w:rPr>
        <w:t>《财政拨款“三公”经费支出决算表》</w:t>
      </w:r>
      <w:bookmarkEnd w:id="51"/>
      <w:bookmarkEnd w:id="52"/>
    </w:p>
    <w:p w:rsidR="0036485F" w:rsidRDefault="00667E9C">
      <w:pPr>
        <w:ind w:firstLineChars="200" w:firstLine="640"/>
        <w:outlineLvl w:val="1"/>
        <w:rPr>
          <w:rFonts w:ascii="黑体" w:eastAsia="黑体" w:hAnsi="黑体" w:cs="宋体"/>
          <w:bCs/>
          <w:kern w:val="0"/>
          <w:sz w:val="32"/>
          <w:szCs w:val="32"/>
        </w:rPr>
      </w:pPr>
      <w:bookmarkStart w:id="53" w:name="_Toc7643"/>
      <w:bookmarkStart w:id="54" w:name="_Toc5453"/>
      <w:r>
        <w:rPr>
          <w:rFonts w:ascii="黑体" w:eastAsia="黑体" w:hAnsi="黑体" w:cs="宋体" w:hint="eastAsia"/>
          <w:bCs/>
          <w:kern w:val="0"/>
          <w:sz w:val="32"/>
          <w:szCs w:val="32"/>
        </w:rPr>
        <w:t>八、《政府性基金预算财政拨款收入支出决算表》</w:t>
      </w:r>
      <w:bookmarkEnd w:id="53"/>
      <w:bookmarkEnd w:id="54"/>
    </w:p>
    <w:p w:rsidR="0036485F" w:rsidRDefault="00667E9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w:t>
      </w:r>
      <w:r>
        <w:rPr>
          <w:rFonts w:ascii="黑体" w:eastAsia="黑体" w:hAnsi="黑体" w:cs="宋体" w:hint="eastAsia"/>
          <w:bCs/>
          <w:kern w:val="0"/>
          <w:sz w:val="32"/>
          <w:szCs w:val="32"/>
        </w:rPr>
        <w:t>国有资本经营</w:t>
      </w:r>
      <w:r>
        <w:rPr>
          <w:rFonts w:ascii="黑体" w:eastAsia="黑体" w:hAnsi="黑体" w:cs="宋体" w:hint="eastAsia"/>
          <w:bCs/>
          <w:kern w:val="0"/>
          <w:sz w:val="32"/>
          <w:szCs w:val="32"/>
        </w:rPr>
        <w:t>预算财政拨款收入支出决算表》</w:t>
      </w:r>
    </w:p>
    <w:p w:rsidR="0036485F" w:rsidRDefault="0036485F">
      <w:pPr>
        <w:ind w:firstLineChars="200" w:firstLine="640"/>
        <w:outlineLvl w:val="1"/>
        <w:rPr>
          <w:rFonts w:ascii="黑体" w:eastAsia="黑体" w:hAnsi="黑体" w:cs="宋体"/>
          <w:bCs/>
          <w:kern w:val="0"/>
          <w:sz w:val="32"/>
          <w:szCs w:val="32"/>
        </w:rPr>
      </w:pPr>
    </w:p>
    <w:sectPr w:rsidR="0036485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9C" w:rsidRDefault="00667E9C">
      <w:r>
        <w:separator/>
      </w:r>
    </w:p>
  </w:endnote>
  <w:endnote w:type="continuationSeparator" w:id="0">
    <w:p w:rsidR="00667E9C" w:rsidRDefault="0066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00" w:usb3="00000000" w:csb0="00040000"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85F" w:rsidRDefault="00667E9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6485F" w:rsidRDefault="00667E9C">
                          <w:pPr>
                            <w:pStyle w:val="a4"/>
                          </w:pPr>
                          <w:r>
                            <w:rPr>
                              <w:rFonts w:hint="eastAsia"/>
                            </w:rPr>
                            <w:fldChar w:fldCharType="begin"/>
                          </w:r>
                          <w:r>
                            <w:rPr>
                              <w:rFonts w:hint="eastAsia"/>
                            </w:rPr>
                            <w:instrText xml:space="preserve"> PAGE  \* MERGEFORMAT </w:instrText>
                          </w:r>
                          <w:r>
                            <w:rPr>
                              <w:rFonts w:hint="eastAsia"/>
                            </w:rPr>
                            <w:fldChar w:fldCharType="separate"/>
                          </w:r>
                          <w:r w:rsidR="006976FE">
                            <w:rPr>
                              <w:noProof/>
                            </w:rPr>
                            <w:t>14</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36485F" w:rsidRDefault="00667E9C">
                    <w:pPr>
                      <w:pStyle w:val="a4"/>
                    </w:pPr>
                    <w:r>
                      <w:rPr>
                        <w:rFonts w:hint="eastAsia"/>
                      </w:rPr>
                      <w:fldChar w:fldCharType="begin"/>
                    </w:r>
                    <w:r>
                      <w:rPr>
                        <w:rFonts w:hint="eastAsia"/>
                      </w:rPr>
                      <w:instrText xml:space="preserve"> PAGE  \* MERGEFORMAT </w:instrText>
                    </w:r>
                    <w:r>
                      <w:rPr>
                        <w:rFonts w:hint="eastAsia"/>
                      </w:rPr>
                      <w:fldChar w:fldCharType="separate"/>
                    </w:r>
                    <w:r w:rsidR="006976FE">
                      <w:rPr>
                        <w:noProof/>
                      </w:rPr>
                      <w:t>14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9C" w:rsidRDefault="00667E9C">
      <w:r>
        <w:separator/>
      </w:r>
    </w:p>
  </w:footnote>
  <w:footnote w:type="continuationSeparator" w:id="0">
    <w:p w:rsidR="00667E9C" w:rsidRDefault="0066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36485F"/>
    <w:rsid w:val="0036485F"/>
    <w:rsid w:val="00667E9C"/>
    <w:rsid w:val="006976FE"/>
    <w:rsid w:val="00780406"/>
    <w:rsid w:val="02F73D26"/>
    <w:rsid w:val="034D4FEF"/>
    <w:rsid w:val="043E5B56"/>
    <w:rsid w:val="06792773"/>
    <w:rsid w:val="0A7B4867"/>
    <w:rsid w:val="0B8C3ECC"/>
    <w:rsid w:val="0C7227A7"/>
    <w:rsid w:val="0DFF4DA8"/>
    <w:rsid w:val="127032C6"/>
    <w:rsid w:val="15CE7014"/>
    <w:rsid w:val="1DAF458D"/>
    <w:rsid w:val="20DD6197"/>
    <w:rsid w:val="229F7A99"/>
    <w:rsid w:val="23BC04D2"/>
    <w:rsid w:val="27CF2642"/>
    <w:rsid w:val="2A053397"/>
    <w:rsid w:val="2CC02204"/>
    <w:rsid w:val="2D1136DF"/>
    <w:rsid w:val="2FD27414"/>
    <w:rsid w:val="31C63837"/>
    <w:rsid w:val="3914510A"/>
    <w:rsid w:val="3CF75EFD"/>
    <w:rsid w:val="3D5275AC"/>
    <w:rsid w:val="402740CC"/>
    <w:rsid w:val="40834692"/>
    <w:rsid w:val="434232BA"/>
    <w:rsid w:val="46901EEE"/>
    <w:rsid w:val="469C74D2"/>
    <w:rsid w:val="4B4C0111"/>
    <w:rsid w:val="50DB5F45"/>
    <w:rsid w:val="52F92565"/>
    <w:rsid w:val="55827619"/>
    <w:rsid w:val="583059FA"/>
    <w:rsid w:val="5FA17648"/>
    <w:rsid w:val="617D1B5D"/>
    <w:rsid w:val="61A46A97"/>
    <w:rsid w:val="62DD7D21"/>
    <w:rsid w:val="65D97752"/>
    <w:rsid w:val="66784918"/>
    <w:rsid w:val="672F48D3"/>
    <w:rsid w:val="68DB0208"/>
    <w:rsid w:val="696C6A31"/>
    <w:rsid w:val="69846A0E"/>
    <w:rsid w:val="69AD798C"/>
    <w:rsid w:val="6A7B7262"/>
    <w:rsid w:val="6B68175F"/>
    <w:rsid w:val="6E0F7A08"/>
    <w:rsid w:val="71473612"/>
    <w:rsid w:val="718F7F65"/>
    <w:rsid w:val="73FB6630"/>
    <w:rsid w:val="74E76DCD"/>
    <w:rsid w:val="77ED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781FD"/>
  <w15:docId w15:val="{3A87FC12-4486-47E7-9600-D51C458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1007</Words>
  <Characters>5740</Characters>
  <Application>Microsoft Office Word</Application>
  <DocSecurity>0</DocSecurity>
  <Lines>47</Lines>
  <Paragraphs>13</Paragraphs>
  <ScaleCrop>false</ScaleCrop>
  <Company>Bing Lan Electronic Technology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Bing Lan Electronic Technology</cp:lastModifiedBy>
  <cp:revision>3</cp:revision>
  <cp:lastPrinted>2023-08-15T09:40:00Z</cp:lastPrinted>
  <dcterms:created xsi:type="dcterms:W3CDTF">2014-10-29T12:08:00Z</dcterms:created>
  <dcterms:modified xsi:type="dcterms:W3CDTF">2024-02-24T04:13:00Z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7F1BA76700A04C6DA077E64EC2EDFE18_13</vt:lpwstr>
  </property>
</Properties>
</file>