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clear" w:color="auto" w:fill="FFFFFF"/>
        <w:spacing w:before="240" w:beforeLines="0" w:after="240" w:afterLines="0"/>
        <w:jc w:val="center"/>
        <w:rPr>
          <w:rFonts w:hint="default" w:eastAsia="Times New Roman"/>
          <w:kern w:val="36"/>
          <w:sz w:val="40"/>
          <w:szCs w:val="24"/>
          <w:lang w:val="zh-CN"/>
        </w:rPr>
      </w:pPr>
    </w:p>
    <w:p>
      <w:pPr>
        <w:shd w:val="clear" w:color="auto" w:fill="FFFFFF"/>
        <w:spacing w:before="240" w:beforeLines="0" w:after="240" w:afterLines="0"/>
        <w:jc w:val="center"/>
        <w:rPr>
          <w:rFonts w:hint="default" w:eastAsia="Times New Roman"/>
          <w:kern w:val="36"/>
          <w:sz w:val="40"/>
          <w:szCs w:val="24"/>
          <w:lang w:val="zh-CN"/>
        </w:rPr>
      </w:pPr>
    </w:p>
    <w:p>
      <w:pPr>
        <w:spacing w:beforeLines="0" w:afterLines="0"/>
        <w:jc w:val="center"/>
        <w:rPr>
          <w:rFonts w:hint="eastAsia" w:ascii="方正小标宋_GBK" w:hAnsi="方正小标宋_GBK" w:eastAsia="方正小标宋_GBK"/>
          <w:sz w:val="44"/>
          <w:szCs w:val="24"/>
          <w:lang w:val="en-US"/>
        </w:rPr>
      </w:pPr>
      <w:r>
        <w:rPr>
          <w:rFonts w:hint="eastAsia" w:ascii="方正小标宋_GBK" w:hAnsi="方正小标宋_GBK" w:eastAsia="方正小标宋_GBK"/>
          <w:sz w:val="44"/>
          <w:szCs w:val="24"/>
          <w:lang w:val="en-US"/>
        </w:rPr>
        <w:t>乌鲁木齐高新技术产业开发区（</w:t>
      </w:r>
      <w:r>
        <w:rPr>
          <w:rFonts w:hint="eastAsia" w:ascii="方正小标宋_GBK" w:hAnsi="方正小标宋_GBK" w:eastAsia="方正小标宋_GBK"/>
          <w:sz w:val="44"/>
          <w:szCs w:val="24"/>
          <w:lang w:val="en-US" w:eastAsia="zh-CN"/>
        </w:rPr>
        <w:t>乌鲁木齐市</w:t>
      </w:r>
      <w:r>
        <w:rPr>
          <w:rFonts w:hint="eastAsia" w:ascii="方正小标宋_GBK" w:hAnsi="方正小标宋_GBK" w:eastAsia="方正小标宋_GBK"/>
          <w:sz w:val="44"/>
          <w:szCs w:val="24"/>
          <w:lang w:val="en-US"/>
        </w:rPr>
        <w:t>新市区）长春中路片区管</w:t>
      </w:r>
      <w:r>
        <w:rPr>
          <w:rFonts w:hint="eastAsia" w:ascii="方正小标宋_GBK" w:hAnsi="方正小标宋_GBK" w:eastAsia="方正小标宋_GBK"/>
          <w:sz w:val="44"/>
          <w:szCs w:val="24"/>
          <w:lang w:val="en-US" w:eastAsia="zh-CN"/>
        </w:rPr>
        <w:t>理</w:t>
      </w:r>
      <w:r>
        <w:rPr>
          <w:rFonts w:hint="eastAsia" w:ascii="方正小标宋_GBK" w:hAnsi="方正小标宋_GBK" w:eastAsia="方正小标宋_GBK"/>
          <w:sz w:val="44"/>
          <w:szCs w:val="24"/>
          <w:lang w:val="en-US"/>
        </w:rPr>
        <w:t>委</w:t>
      </w:r>
      <w:r>
        <w:rPr>
          <w:rFonts w:hint="eastAsia" w:ascii="方正小标宋_GBK" w:hAnsi="方正小标宋_GBK" w:eastAsia="方正小标宋_GBK"/>
          <w:sz w:val="44"/>
          <w:szCs w:val="24"/>
          <w:lang w:val="en-US" w:eastAsia="zh-CN"/>
        </w:rPr>
        <w:t>员</w:t>
      </w:r>
      <w:r>
        <w:rPr>
          <w:rFonts w:hint="eastAsia" w:ascii="方正小标宋_GBK" w:hAnsi="方正小标宋_GBK" w:eastAsia="方正小标宋_GBK"/>
          <w:sz w:val="44"/>
          <w:szCs w:val="24"/>
          <w:lang w:val="en-US"/>
        </w:rPr>
        <w:t>会</w:t>
      </w:r>
    </w:p>
    <w:p>
      <w:pPr>
        <w:spacing w:beforeLines="0" w:afterLines="0"/>
        <w:jc w:val="center"/>
        <w:rPr>
          <w:rFonts w:hint="default" w:eastAsia="Times New Roman"/>
          <w:kern w:val="36"/>
          <w:sz w:val="40"/>
          <w:szCs w:val="24"/>
          <w:lang w:val="zh-CN"/>
        </w:rPr>
      </w:pPr>
      <w:r>
        <w:rPr>
          <w:rFonts w:hint="eastAsia" w:ascii="方正小标宋_GBK" w:hAnsi="方正小标宋_GBK" w:eastAsia="方正小标宋_GBK"/>
          <w:sz w:val="44"/>
          <w:szCs w:val="24"/>
          <w:lang w:val="en-US"/>
        </w:rPr>
        <w:t>2021年度部门决</w:t>
      </w:r>
      <w:bookmarkStart w:id="0" w:name="_GoBack"/>
      <w:bookmarkEnd w:id="0"/>
      <w:r>
        <w:rPr>
          <w:rFonts w:hint="eastAsia" w:ascii="方正小标宋_GBK" w:hAnsi="方正小标宋_GBK" w:eastAsia="方正小标宋_GBK"/>
          <w:sz w:val="44"/>
          <w:szCs w:val="24"/>
          <w:lang w:val="en-US"/>
        </w:rPr>
        <w:t>算公开说明</w:t>
      </w:r>
    </w:p>
    <w:p>
      <w:pPr>
        <w:shd w:val="clear" w:color="auto" w:fill="FFFFFF"/>
        <w:spacing w:before="240" w:beforeLines="0" w:after="240" w:afterLines="0"/>
        <w:jc w:val="center"/>
        <w:rPr>
          <w:rFonts w:hint="default" w:eastAsia="Times New Roman"/>
          <w:kern w:val="36"/>
          <w:sz w:val="40"/>
          <w:szCs w:val="24"/>
          <w:lang w:val="zh-CN"/>
        </w:rPr>
      </w:pPr>
    </w:p>
    <w:p>
      <w:pPr>
        <w:spacing w:beforeLines="0" w:afterLines="0" w:line="540" w:lineRule="exact"/>
        <w:jc w:val="center"/>
        <w:rPr>
          <w:rFonts w:hint="default" w:eastAsia="Times New Roman"/>
          <w:b/>
          <w:kern w:val="0"/>
          <w:sz w:val="24"/>
          <w:szCs w:val="24"/>
          <w:lang w:val="en-US"/>
        </w:rPr>
      </w:pPr>
      <w:r>
        <w:rPr>
          <w:rFonts w:hint="default" w:eastAsia="Times New Roman"/>
          <w:b/>
          <w:kern w:val="36"/>
          <w:sz w:val="36"/>
          <w:szCs w:val="24"/>
          <w:lang w:val="en-US"/>
        </w:rPr>
        <w:br w:type="page"/>
      </w:r>
      <w:r>
        <w:rPr>
          <w:rFonts w:hint="eastAsia" w:ascii="仿宋_GB2312" w:hAnsi="仿宋_GB2312" w:eastAsia="仿宋_GB2312"/>
          <w:b/>
          <w:kern w:val="0"/>
          <w:sz w:val="36"/>
          <w:szCs w:val="24"/>
          <w:lang w:val="en-US"/>
        </w:rPr>
        <w:t>目  录</w:t>
      </w:r>
    </w:p>
    <w:p>
      <w:pPr>
        <w:spacing w:beforeLines="0" w:afterLines="0" w:line="540" w:lineRule="exact"/>
        <w:rPr>
          <w:rFonts w:hint="default" w:eastAsia="Times New Roman"/>
          <w:kern w:val="0"/>
          <w:sz w:val="32"/>
          <w:szCs w:val="24"/>
          <w:lang w:val="en-US"/>
        </w:rPr>
      </w:pPr>
      <w:r>
        <w:rPr>
          <w:rFonts w:hint="eastAsia" w:ascii="仿宋_GB2312" w:hAnsi="仿宋_GB2312" w:eastAsia="仿宋_GB2312"/>
          <w:b/>
          <w:kern w:val="0"/>
          <w:sz w:val="32"/>
          <w:szCs w:val="24"/>
          <w:lang w:val="en-US"/>
        </w:rPr>
        <w:t>第一部分 部门单位概况</w:t>
      </w:r>
    </w:p>
    <w:p>
      <w:pPr>
        <w:spacing w:beforeLines="0" w:afterLines="0" w:line="540" w:lineRule="exact"/>
        <w:rPr>
          <w:rFonts w:hint="default" w:eastAsia="Times New Roman"/>
          <w:kern w:val="0"/>
          <w:sz w:val="32"/>
          <w:szCs w:val="24"/>
          <w:lang w:val="en-US"/>
        </w:rPr>
      </w:pPr>
      <w:r>
        <w:rPr>
          <w:rFonts w:hint="eastAsia" w:ascii="仿宋_GB2312" w:hAnsi="仿宋_GB2312" w:eastAsia="仿宋_GB2312"/>
          <w:kern w:val="0"/>
          <w:sz w:val="32"/>
          <w:szCs w:val="24"/>
          <w:lang w:val="en-US"/>
        </w:rPr>
        <w:t>一、主要职能</w:t>
      </w:r>
    </w:p>
    <w:p>
      <w:pPr>
        <w:spacing w:beforeLines="0" w:afterLines="0" w:line="540" w:lineRule="exact"/>
        <w:rPr>
          <w:rFonts w:hint="default" w:eastAsia="Times New Roman"/>
          <w:kern w:val="0"/>
          <w:sz w:val="32"/>
          <w:szCs w:val="24"/>
          <w:lang w:val="en-US"/>
        </w:rPr>
      </w:pPr>
      <w:r>
        <w:rPr>
          <w:rFonts w:hint="eastAsia" w:ascii="仿宋_GB2312" w:hAnsi="仿宋_GB2312" w:eastAsia="仿宋_GB2312"/>
          <w:kern w:val="0"/>
          <w:sz w:val="32"/>
          <w:szCs w:val="24"/>
          <w:lang w:val="en-US"/>
        </w:rPr>
        <w:t>二、</w:t>
      </w:r>
      <w:r>
        <w:rPr>
          <w:rFonts w:hint="eastAsia" w:ascii="仿宋_GB2312" w:hAnsi="仿宋_GB2312" w:eastAsia="仿宋_GB2312"/>
          <w:sz w:val="32"/>
          <w:szCs w:val="24"/>
          <w:lang w:val="en-US"/>
        </w:rPr>
        <w:t>机构设置及人员情况</w:t>
      </w:r>
    </w:p>
    <w:p>
      <w:pPr>
        <w:spacing w:beforeLines="0" w:afterLines="0" w:line="540" w:lineRule="exact"/>
        <w:rPr>
          <w:rFonts w:hint="default" w:eastAsia="Times New Roman"/>
          <w:kern w:val="0"/>
          <w:sz w:val="32"/>
          <w:szCs w:val="24"/>
          <w:lang w:val="en-US"/>
        </w:rPr>
      </w:pPr>
      <w:r>
        <w:rPr>
          <w:rFonts w:hint="eastAsia" w:ascii="仿宋_GB2312" w:hAnsi="仿宋_GB2312" w:eastAsia="仿宋_GB2312"/>
          <w:b/>
          <w:kern w:val="0"/>
          <w:sz w:val="32"/>
          <w:szCs w:val="24"/>
          <w:lang w:val="en-US"/>
        </w:rPr>
        <w:t>第二部分 部门决算情况说明</w:t>
      </w:r>
    </w:p>
    <w:p>
      <w:pPr>
        <w:spacing w:beforeLines="0" w:afterLines="0" w:line="540" w:lineRule="exact"/>
        <w:rPr>
          <w:rFonts w:hint="default" w:eastAsia="Times New Roman"/>
          <w:sz w:val="32"/>
          <w:szCs w:val="24"/>
          <w:lang w:val="en-US"/>
        </w:rPr>
      </w:pPr>
      <w:r>
        <w:rPr>
          <w:rFonts w:hint="eastAsia" w:ascii="仿宋_GB2312" w:hAnsi="仿宋_GB2312" w:eastAsia="仿宋_GB2312"/>
          <w:sz w:val="32"/>
          <w:szCs w:val="24"/>
          <w:lang w:val="en-US"/>
        </w:rPr>
        <w:t>一、收入支出决算总体情况说明</w:t>
      </w:r>
    </w:p>
    <w:p>
      <w:pPr>
        <w:spacing w:beforeLines="0" w:afterLines="0" w:line="540" w:lineRule="exact"/>
        <w:rPr>
          <w:rFonts w:hint="default" w:eastAsia="Times New Roman"/>
          <w:sz w:val="32"/>
          <w:szCs w:val="24"/>
          <w:lang w:val="en-US"/>
        </w:rPr>
      </w:pPr>
      <w:r>
        <w:rPr>
          <w:rFonts w:hint="eastAsia" w:ascii="仿宋_GB2312" w:hAnsi="仿宋_GB2312" w:eastAsia="仿宋_GB2312"/>
          <w:sz w:val="32"/>
          <w:szCs w:val="24"/>
          <w:lang w:val="en-US"/>
        </w:rPr>
        <w:t>二、收入决算情况说明</w:t>
      </w:r>
    </w:p>
    <w:p>
      <w:pPr>
        <w:spacing w:beforeLines="0" w:afterLines="0" w:line="540" w:lineRule="exact"/>
        <w:rPr>
          <w:rFonts w:hint="default" w:eastAsia="Times New Roman"/>
          <w:sz w:val="32"/>
          <w:szCs w:val="24"/>
          <w:lang w:val="en-US"/>
        </w:rPr>
      </w:pPr>
      <w:r>
        <w:rPr>
          <w:rFonts w:hint="eastAsia" w:ascii="仿宋_GB2312" w:hAnsi="仿宋_GB2312" w:eastAsia="仿宋_GB2312"/>
          <w:sz w:val="32"/>
          <w:szCs w:val="24"/>
          <w:lang w:val="en-US"/>
        </w:rPr>
        <w:t>三、支出决算情况说明</w:t>
      </w:r>
    </w:p>
    <w:p>
      <w:pPr>
        <w:spacing w:beforeLines="0" w:afterLines="0" w:line="540" w:lineRule="exact"/>
        <w:rPr>
          <w:rFonts w:hint="default" w:eastAsia="Times New Roman"/>
          <w:sz w:val="32"/>
          <w:szCs w:val="24"/>
          <w:lang w:val="en-US"/>
        </w:rPr>
      </w:pPr>
      <w:r>
        <w:rPr>
          <w:rFonts w:hint="eastAsia" w:ascii="仿宋_GB2312" w:hAnsi="仿宋_GB2312" w:eastAsia="仿宋_GB2312"/>
          <w:sz w:val="32"/>
          <w:szCs w:val="24"/>
          <w:lang w:val="en-US"/>
        </w:rPr>
        <w:t>四、财政拨款收入支出决算总体情况说明</w:t>
      </w:r>
    </w:p>
    <w:p>
      <w:pPr>
        <w:spacing w:beforeLines="0" w:afterLines="0" w:line="540" w:lineRule="exact"/>
        <w:rPr>
          <w:rFonts w:hint="default" w:eastAsia="Times New Roman"/>
          <w:sz w:val="32"/>
          <w:szCs w:val="24"/>
          <w:lang w:val="en-US"/>
        </w:rPr>
      </w:pPr>
      <w:r>
        <w:rPr>
          <w:rFonts w:hint="eastAsia" w:ascii="仿宋_GB2312" w:hAnsi="仿宋_GB2312" w:eastAsia="仿宋_GB2312"/>
          <w:sz w:val="32"/>
          <w:szCs w:val="24"/>
          <w:lang w:val="en-US"/>
        </w:rPr>
        <w:t>五、一般公共预算财政拨款支出决算情况说明</w:t>
      </w:r>
    </w:p>
    <w:p>
      <w:pPr>
        <w:spacing w:beforeLines="0" w:afterLines="0" w:line="540" w:lineRule="exact"/>
        <w:rPr>
          <w:rFonts w:hint="default" w:eastAsia="Times New Roman"/>
          <w:sz w:val="32"/>
          <w:szCs w:val="24"/>
          <w:lang w:val="en-US"/>
        </w:rPr>
      </w:pPr>
      <w:r>
        <w:rPr>
          <w:rFonts w:hint="eastAsia" w:ascii="仿宋_GB2312" w:hAnsi="仿宋_GB2312" w:eastAsia="仿宋_GB2312"/>
          <w:sz w:val="32"/>
          <w:szCs w:val="24"/>
          <w:lang w:val="en-US"/>
        </w:rPr>
        <w:t>六、一般公共预算财政拨款基本支出决算情况说明</w:t>
      </w:r>
    </w:p>
    <w:p>
      <w:pPr>
        <w:spacing w:beforeLines="0" w:afterLines="0" w:line="540" w:lineRule="exact"/>
        <w:rPr>
          <w:rFonts w:hint="default" w:eastAsia="Times New Roman"/>
          <w:sz w:val="32"/>
          <w:szCs w:val="24"/>
          <w:lang w:val="en-US"/>
        </w:rPr>
      </w:pPr>
      <w:r>
        <w:rPr>
          <w:rFonts w:hint="eastAsia" w:ascii="仿宋_GB2312" w:hAnsi="仿宋_GB2312" w:eastAsia="仿宋_GB2312"/>
          <w:sz w:val="32"/>
          <w:szCs w:val="24"/>
          <w:lang w:val="en-US"/>
        </w:rPr>
        <w:t>七、一般公共预算财政拨款“三公”经费支出决算情况说明</w:t>
      </w:r>
    </w:p>
    <w:p>
      <w:pPr>
        <w:spacing w:beforeLines="0" w:afterLines="0" w:line="540" w:lineRule="exact"/>
        <w:rPr>
          <w:rFonts w:hint="default" w:eastAsia="Times New Roman"/>
          <w:sz w:val="32"/>
          <w:szCs w:val="24"/>
          <w:lang w:val="en-US"/>
        </w:rPr>
      </w:pPr>
      <w:r>
        <w:rPr>
          <w:rFonts w:hint="eastAsia" w:ascii="仿宋_GB2312" w:hAnsi="仿宋_GB2312" w:eastAsia="仿宋_GB2312"/>
          <w:sz w:val="32"/>
          <w:szCs w:val="24"/>
          <w:lang w:val="en-US"/>
        </w:rPr>
        <w:t>八、政府性基金预算</w:t>
      </w:r>
      <w:r>
        <w:rPr>
          <w:rFonts w:hint="eastAsia" w:ascii="仿宋_GB2312" w:hAnsi="仿宋_GB2312" w:eastAsia="仿宋_GB2312"/>
          <w:sz w:val="32"/>
          <w:szCs w:val="24"/>
          <w:lang w:val="zh-CN"/>
        </w:rPr>
        <w:t>财政拨款</w:t>
      </w:r>
      <w:r>
        <w:rPr>
          <w:rFonts w:hint="eastAsia" w:ascii="仿宋_GB2312" w:hAnsi="仿宋_GB2312" w:eastAsia="仿宋_GB2312"/>
          <w:sz w:val="32"/>
          <w:szCs w:val="24"/>
          <w:lang w:val="en-US"/>
        </w:rPr>
        <w:t>收入支出决算情况说明</w:t>
      </w:r>
    </w:p>
    <w:p>
      <w:pPr>
        <w:spacing w:beforeLines="0" w:afterLines="0" w:line="540" w:lineRule="exact"/>
        <w:rPr>
          <w:rFonts w:hint="default" w:eastAsia="Times New Roman"/>
          <w:sz w:val="32"/>
          <w:szCs w:val="24"/>
          <w:lang w:val="en-US"/>
        </w:rPr>
      </w:pPr>
      <w:r>
        <w:rPr>
          <w:rFonts w:hint="eastAsia" w:ascii="仿宋_GB2312" w:hAnsi="仿宋_GB2312" w:eastAsia="仿宋_GB2312"/>
          <w:sz w:val="32"/>
          <w:szCs w:val="24"/>
          <w:lang w:val="en-US"/>
        </w:rPr>
        <w:t>九、国有资本经营预算财政拨款收入支出决算情况说明</w:t>
      </w:r>
    </w:p>
    <w:p>
      <w:pPr>
        <w:spacing w:beforeLines="0" w:afterLines="0" w:line="540" w:lineRule="exact"/>
        <w:rPr>
          <w:rFonts w:hint="default" w:eastAsia="Times New Roman"/>
          <w:sz w:val="32"/>
          <w:szCs w:val="24"/>
          <w:lang w:val="en-US"/>
        </w:rPr>
      </w:pPr>
      <w:r>
        <w:rPr>
          <w:rFonts w:hint="eastAsia" w:ascii="仿宋_GB2312" w:hAnsi="仿宋_GB2312" w:eastAsia="仿宋_GB2312"/>
          <w:sz w:val="32"/>
          <w:szCs w:val="24"/>
          <w:lang w:val="en-US"/>
        </w:rPr>
        <w:t>十、其他重要事项的情况说明</w:t>
      </w:r>
    </w:p>
    <w:p>
      <w:pPr>
        <w:spacing w:beforeLines="0" w:afterLines="0" w:line="540" w:lineRule="exact"/>
        <w:rPr>
          <w:rFonts w:hint="default" w:eastAsia="Times New Roman"/>
          <w:sz w:val="32"/>
          <w:szCs w:val="24"/>
          <w:lang w:val="en-US"/>
        </w:rPr>
      </w:pPr>
      <w:r>
        <w:rPr>
          <w:rFonts w:hint="eastAsia" w:ascii="仿宋_GB2312" w:hAnsi="仿宋_GB2312" w:eastAsia="仿宋_GB2312"/>
          <w:sz w:val="32"/>
          <w:szCs w:val="24"/>
          <w:lang w:val="en-US"/>
        </w:rPr>
        <w:t>（一）机关运行经费支出情况</w:t>
      </w:r>
    </w:p>
    <w:p>
      <w:pPr>
        <w:spacing w:beforeLines="0" w:afterLines="0" w:line="540" w:lineRule="exact"/>
        <w:rPr>
          <w:rFonts w:hint="default" w:eastAsia="Times New Roman"/>
          <w:sz w:val="32"/>
          <w:szCs w:val="24"/>
          <w:lang w:val="en-US"/>
        </w:rPr>
      </w:pPr>
      <w:r>
        <w:rPr>
          <w:rFonts w:hint="eastAsia" w:ascii="仿宋_GB2312" w:hAnsi="仿宋_GB2312" w:eastAsia="仿宋_GB2312"/>
          <w:sz w:val="32"/>
          <w:szCs w:val="24"/>
          <w:lang w:val="en-US"/>
        </w:rPr>
        <w:t>（二）政府采购情况</w:t>
      </w:r>
    </w:p>
    <w:p>
      <w:pPr>
        <w:spacing w:beforeLines="0" w:afterLines="0" w:line="540" w:lineRule="exact"/>
        <w:rPr>
          <w:rFonts w:hint="default" w:eastAsia="Times New Roman"/>
          <w:sz w:val="32"/>
          <w:szCs w:val="24"/>
          <w:lang w:val="en-US"/>
        </w:rPr>
      </w:pPr>
      <w:r>
        <w:rPr>
          <w:rFonts w:hint="eastAsia" w:ascii="仿宋_GB2312" w:hAnsi="仿宋_GB2312" w:eastAsia="仿宋_GB2312"/>
          <w:sz w:val="32"/>
          <w:szCs w:val="24"/>
          <w:lang w:val="en-US"/>
        </w:rPr>
        <w:t>（三）国有资产占用情况说明</w:t>
      </w:r>
    </w:p>
    <w:p>
      <w:pPr>
        <w:spacing w:beforeLines="0" w:afterLines="0" w:line="540" w:lineRule="exact"/>
        <w:rPr>
          <w:rFonts w:hint="default" w:eastAsia="Times New Roman"/>
          <w:sz w:val="32"/>
          <w:szCs w:val="24"/>
          <w:lang w:val="en-US"/>
        </w:rPr>
      </w:pPr>
      <w:r>
        <w:rPr>
          <w:rFonts w:hint="eastAsia" w:ascii="仿宋_GB2312" w:hAnsi="仿宋_GB2312" w:eastAsia="仿宋_GB2312"/>
          <w:sz w:val="32"/>
          <w:szCs w:val="24"/>
          <w:lang w:val="en-US"/>
        </w:rPr>
        <w:t>十</w:t>
      </w:r>
      <w:r>
        <w:rPr>
          <w:rFonts w:hint="eastAsia" w:ascii="仿宋_GB2312" w:hAnsi="仿宋_GB2312" w:eastAsia="仿宋_GB2312"/>
          <w:sz w:val="32"/>
          <w:szCs w:val="24"/>
          <w:lang w:val="zh-CN"/>
        </w:rPr>
        <w:t>一</w:t>
      </w:r>
      <w:r>
        <w:rPr>
          <w:rFonts w:hint="eastAsia" w:ascii="仿宋_GB2312" w:hAnsi="仿宋_GB2312" w:eastAsia="仿宋_GB2312"/>
          <w:sz w:val="32"/>
          <w:szCs w:val="24"/>
          <w:lang w:val="en-US"/>
        </w:rPr>
        <w:t>、预算绩效的情况说明</w:t>
      </w:r>
    </w:p>
    <w:p>
      <w:pPr>
        <w:spacing w:beforeLines="0" w:afterLines="0" w:line="540" w:lineRule="exact"/>
        <w:rPr>
          <w:rFonts w:hint="default" w:eastAsia="Times New Roman"/>
          <w:b/>
          <w:kern w:val="0"/>
          <w:sz w:val="32"/>
          <w:szCs w:val="24"/>
          <w:lang w:val="en-US"/>
        </w:rPr>
      </w:pPr>
      <w:r>
        <w:rPr>
          <w:rFonts w:hint="eastAsia" w:ascii="仿宋_GB2312" w:hAnsi="仿宋_GB2312" w:eastAsia="仿宋_GB2312"/>
          <w:b/>
          <w:kern w:val="0"/>
          <w:sz w:val="32"/>
          <w:szCs w:val="24"/>
          <w:lang w:val="en-US"/>
        </w:rPr>
        <w:t>第三部分 专业名词解释</w:t>
      </w:r>
    </w:p>
    <w:p>
      <w:pPr>
        <w:spacing w:beforeLines="0" w:afterLines="0" w:line="540" w:lineRule="exact"/>
        <w:rPr>
          <w:rFonts w:hint="default" w:eastAsia="Times New Roman"/>
          <w:b/>
          <w:kern w:val="0"/>
          <w:sz w:val="32"/>
          <w:szCs w:val="24"/>
          <w:lang w:val="en-US"/>
        </w:rPr>
      </w:pPr>
      <w:r>
        <w:rPr>
          <w:rFonts w:hint="eastAsia" w:ascii="仿宋_GB2312" w:hAnsi="仿宋_GB2312" w:eastAsia="仿宋_GB2312"/>
          <w:b/>
          <w:kern w:val="0"/>
          <w:sz w:val="32"/>
          <w:szCs w:val="24"/>
          <w:lang w:val="en-US"/>
        </w:rPr>
        <w:t>第四部分 部</w:t>
      </w:r>
      <w:r>
        <w:rPr>
          <w:rFonts w:hint="eastAsia" w:ascii="仿宋_GB2312" w:hAnsi="仿宋_GB2312" w:eastAsia="仿宋_GB2312"/>
          <w:b/>
          <w:sz w:val="32"/>
          <w:szCs w:val="24"/>
          <w:lang w:val="en-US"/>
        </w:rPr>
        <w:t>门决算报表（见附表）</w:t>
      </w:r>
    </w:p>
    <w:p>
      <w:pPr>
        <w:spacing w:beforeLines="0" w:afterLines="0" w:line="540" w:lineRule="exact"/>
        <w:rPr>
          <w:rFonts w:hint="default" w:eastAsia="Times New Roman"/>
          <w:sz w:val="32"/>
          <w:szCs w:val="24"/>
          <w:lang w:val="en-US"/>
        </w:rPr>
      </w:pPr>
      <w:r>
        <w:rPr>
          <w:rFonts w:hint="eastAsia" w:ascii="仿宋_GB2312" w:hAnsi="仿宋_GB2312" w:eastAsia="仿宋_GB2312"/>
          <w:sz w:val="32"/>
          <w:szCs w:val="24"/>
          <w:lang w:val="en-US"/>
        </w:rPr>
        <w:t>一、《收入支出决算总表》</w:t>
      </w:r>
    </w:p>
    <w:p>
      <w:pPr>
        <w:spacing w:beforeLines="0" w:afterLines="0" w:line="540" w:lineRule="exact"/>
        <w:rPr>
          <w:rFonts w:hint="default" w:eastAsia="Times New Roman"/>
          <w:sz w:val="32"/>
          <w:szCs w:val="24"/>
          <w:lang w:val="en-US"/>
        </w:rPr>
      </w:pPr>
      <w:r>
        <w:rPr>
          <w:rFonts w:hint="eastAsia" w:ascii="仿宋_GB2312" w:hAnsi="仿宋_GB2312" w:eastAsia="仿宋_GB2312"/>
          <w:sz w:val="32"/>
          <w:szCs w:val="24"/>
          <w:lang w:val="en-US"/>
        </w:rPr>
        <w:t>二、《收入决算表》</w:t>
      </w:r>
    </w:p>
    <w:p>
      <w:pPr>
        <w:spacing w:beforeLines="0" w:afterLines="0" w:line="540" w:lineRule="exact"/>
        <w:rPr>
          <w:rFonts w:hint="default" w:eastAsia="Times New Roman"/>
          <w:sz w:val="32"/>
          <w:szCs w:val="24"/>
          <w:lang w:val="en-US"/>
        </w:rPr>
      </w:pPr>
      <w:r>
        <w:rPr>
          <w:rFonts w:hint="eastAsia" w:ascii="仿宋_GB2312" w:hAnsi="仿宋_GB2312" w:eastAsia="仿宋_GB2312"/>
          <w:sz w:val="32"/>
          <w:szCs w:val="24"/>
          <w:lang w:val="en-US"/>
        </w:rPr>
        <w:t>三、《支出决算表》</w:t>
      </w:r>
    </w:p>
    <w:p>
      <w:pPr>
        <w:spacing w:beforeLines="0" w:afterLines="0" w:line="540" w:lineRule="exact"/>
        <w:rPr>
          <w:rFonts w:hint="default" w:eastAsia="Times New Roman"/>
          <w:sz w:val="32"/>
          <w:szCs w:val="24"/>
          <w:lang w:val="en-US"/>
        </w:rPr>
      </w:pPr>
      <w:r>
        <w:rPr>
          <w:rFonts w:hint="eastAsia" w:ascii="仿宋_GB2312" w:hAnsi="仿宋_GB2312" w:eastAsia="仿宋_GB2312"/>
          <w:sz w:val="32"/>
          <w:szCs w:val="24"/>
          <w:lang w:val="en-US"/>
        </w:rPr>
        <w:t>四、《财政拨款收入支出决算总表》</w:t>
      </w:r>
    </w:p>
    <w:p>
      <w:pPr>
        <w:spacing w:beforeLines="0" w:afterLines="0" w:line="540" w:lineRule="exact"/>
        <w:rPr>
          <w:rFonts w:hint="default" w:eastAsia="Times New Roman"/>
          <w:sz w:val="32"/>
          <w:szCs w:val="24"/>
          <w:lang w:val="en-US"/>
        </w:rPr>
      </w:pPr>
      <w:r>
        <w:rPr>
          <w:rFonts w:hint="eastAsia" w:ascii="仿宋_GB2312" w:hAnsi="仿宋_GB2312" w:eastAsia="仿宋_GB2312"/>
          <w:sz w:val="32"/>
          <w:szCs w:val="24"/>
          <w:lang w:val="en-US"/>
        </w:rPr>
        <w:t>五、《一般公共预算财政拨款支出决算表》</w:t>
      </w:r>
    </w:p>
    <w:p>
      <w:pPr>
        <w:spacing w:beforeLines="0" w:afterLines="0" w:line="540" w:lineRule="exact"/>
        <w:rPr>
          <w:rFonts w:hint="default" w:eastAsia="Times New Roman"/>
          <w:sz w:val="32"/>
          <w:szCs w:val="24"/>
          <w:lang w:val="en-US"/>
        </w:rPr>
      </w:pPr>
      <w:r>
        <w:rPr>
          <w:rFonts w:hint="eastAsia" w:ascii="仿宋_GB2312" w:hAnsi="仿宋_GB2312" w:eastAsia="仿宋_GB2312"/>
          <w:sz w:val="32"/>
          <w:szCs w:val="24"/>
          <w:lang w:val="en-US"/>
        </w:rPr>
        <w:t>六、《一般公共预算财政拨款基本支出决算表》</w:t>
      </w:r>
    </w:p>
    <w:p>
      <w:pPr>
        <w:spacing w:beforeLines="0" w:afterLines="0" w:line="540" w:lineRule="exact"/>
        <w:rPr>
          <w:rFonts w:hint="default" w:eastAsia="Times New Roman"/>
          <w:sz w:val="32"/>
          <w:szCs w:val="24"/>
          <w:lang w:val="en-US"/>
        </w:rPr>
      </w:pPr>
      <w:r>
        <w:rPr>
          <w:rFonts w:hint="eastAsia" w:ascii="仿宋_GB2312" w:hAnsi="仿宋_GB2312" w:eastAsia="仿宋_GB2312"/>
          <w:sz w:val="32"/>
          <w:szCs w:val="24"/>
          <w:lang w:val="en-US"/>
        </w:rPr>
        <w:t>七、《一般公共预算财政拨款“三公”经费支出决算表》</w:t>
      </w:r>
    </w:p>
    <w:p>
      <w:pPr>
        <w:spacing w:beforeLines="0" w:afterLines="0" w:line="540" w:lineRule="exact"/>
        <w:rPr>
          <w:rFonts w:hint="default" w:eastAsia="Times New Roman"/>
          <w:sz w:val="32"/>
          <w:szCs w:val="24"/>
          <w:lang w:val="en-US"/>
        </w:rPr>
      </w:pPr>
      <w:r>
        <w:rPr>
          <w:rFonts w:hint="eastAsia" w:ascii="仿宋_GB2312" w:hAnsi="仿宋_GB2312" w:eastAsia="仿宋_GB2312"/>
          <w:sz w:val="32"/>
          <w:szCs w:val="24"/>
          <w:lang w:val="en-US"/>
        </w:rPr>
        <w:t>八、《政府性基金预算财政拨款收入支出决算表》</w:t>
      </w:r>
    </w:p>
    <w:p>
      <w:pPr>
        <w:spacing w:beforeLines="0" w:afterLines="0" w:line="540" w:lineRule="exact"/>
        <w:rPr>
          <w:rFonts w:hint="default" w:eastAsia="Times New Roman"/>
          <w:sz w:val="32"/>
          <w:szCs w:val="24"/>
          <w:lang w:val="en-US"/>
        </w:rPr>
      </w:pPr>
      <w:r>
        <w:rPr>
          <w:rFonts w:hint="eastAsia" w:ascii="仿宋_GB2312" w:hAnsi="仿宋_GB2312" w:eastAsia="仿宋_GB2312"/>
          <w:sz w:val="32"/>
          <w:szCs w:val="24"/>
          <w:lang w:val="en-US"/>
        </w:rPr>
        <w:t>九、《国有资本经营预算财政拨款收入支出决算表》</w:t>
      </w:r>
    </w:p>
    <w:p>
      <w:pPr>
        <w:spacing w:beforeLines="0" w:afterLines="0" w:line="540" w:lineRule="exact"/>
        <w:ind w:firstLine="640"/>
        <w:rPr>
          <w:rFonts w:hint="default" w:eastAsia="Times New Roman"/>
          <w:b/>
          <w:kern w:val="0"/>
          <w:sz w:val="28"/>
          <w:szCs w:val="24"/>
          <w:lang w:val="en-US"/>
        </w:rPr>
      </w:pPr>
    </w:p>
    <w:p>
      <w:pPr>
        <w:shd w:val="clear" w:color="auto" w:fill="FFFFFF"/>
        <w:spacing w:beforeLines="0" w:afterLines="0" w:line="360" w:lineRule="auto"/>
        <w:jc w:val="center"/>
        <w:rPr>
          <w:rFonts w:hint="default" w:eastAsia="Times New Roman"/>
          <w:kern w:val="0"/>
          <w:sz w:val="32"/>
          <w:szCs w:val="24"/>
          <w:lang w:val="en-US"/>
        </w:rPr>
      </w:pPr>
    </w:p>
    <w:p>
      <w:pPr>
        <w:shd w:val="clear" w:color="auto" w:fill="FFFFFF"/>
        <w:spacing w:beforeLines="0" w:afterLines="0" w:line="360" w:lineRule="auto"/>
        <w:jc w:val="center"/>
        <w:rPr>
          <w:rFonts w:hint="eastAsia" w:ascii="黑体" w:hAnsi="黑体" w:eastAsia="黑体"/>
          <w:kern w:val="0"/>
          <w:sz w:val="32"/>
          <w:szCs w:val="24"/>
          <w:lang w:val="ar-SA"/>
        </w:rPr>
      </w:pPr>
      <w:r>
        <w:rPr>
          <w:rFonts w:hint="default" w:eastAsia="Times New Roman"/>
          <w:kern w:val="0"/>
          <w:sz w:val="32"/>
          <w:szCs w:val="24"/>
          <w:lang w:val="en-US"/>
        </w:rPr>
        <w:br w:type="page"/>
      </w:r>
      <w:r>
        <w:rPr>
          <w:rFonts w:hint="eastAsia" w:ascii="黑体" w:hAnsi="黑体" w:eastAsia="黑体"/>
          <w:kern w:val="0"/>
          <w:sz w:val="32"/>
          <w:szCs w:val="24"/>
          <w:lang w:val="en-US"/>
        </w:rPr>
        <w:t>第一部分 部门单位概况</w:t>
      </w:r>
    </w:p>
    <w:p>
      <w:pPr>
        <w:spacing w:beforeLines="0" w:afterLines="0" w:line="360" w:lineRule="auto"/>
        <w:ind w:firstLine="640"/>
        <w:rPr>
          <w:rFonts w:hint="eastAsia" w:ascii="黑体" w:hAnsi="黑体" w:eastAsia="黑体"/>
          <w:sz w:val="32"/>
          <w:szCs w:val="24"/>
          <w:lang w:val="zh-CN"/>
        </w:rPr>
      </w:pPr>
      <w:r>
        <w:rPr>
          <w:rFonts w:hint="eastAsia" w:ascii="黑体" w:hAnsi="黑体" w:eastAsia="黑体"/>
          <w:sz w:val="32"/>
          <w:szCs w:val="24"/>
          <w:lang w:val="zh-CN"/>
        </w:rPr>
        <w:t>一、主要职能</w:t>
      </w:r>
    </w:p>
    <w:p>
      <w:pPr>
        <w:shd w:val="clear" w:color="auto" w:fill="FFFFFF"/>
        <w:spacing w:beforeLines="0" w:afterLines="0" w:line="360" w:lineRule="auto"/>
        <w:ind w:firstLine="960" w:firstLineChars="300"/>
        <w:rPr>
          <w:rFonts w:hint="eastAsia" w:ascii="仿宋_GB2312" w:hAnsi="仿宋_GB2312" w:eastAsia="仿宋_GB2312"/>
          <w:kern w:val="0"/>
          <w:sz w:val="32"/>
          <w:szCs w:val="24"/>
          <w:lang w:val="en-US"/>
        </w:rPr>
      </w:pPr>
      <w:r>
        <w:rPr>
          <w:rFonts w:hint="eastAsia" w:ascii="仿宋_GB2312" w:hAnsi="仿宋_GB2312" w:eastAsia="仿宋_GB2312"/>
          <w:kern w:val="0"/>
          <w:sz w:val="32"/>
          <w:szCs w:val="24"/>
          <w:lang w:val="en-US"/>
        </w:rPr>
        <w:t>1、受区委、管委会（区人民政府）委托，统一领导和管理辖区党务、行政和社会事务工作，紧紧围绕自治区党委“1+3+3+改革开放”工作部署以及市委确定的聚焦总目标、抓好“三件大事”、建设“六个首府”总体思路和区委各项工作安排，凝心聚力，扎实工作，认真落实各项维稳措施、不断推进民生工作,促进片区和谐发展。</w:t>
      </w:r>
    </w:p>
    <w:p>
      <w:pPr>
        <w:shd w:val="clear" w:color="auto" w:fill="FFFFFF"/>
        <w:spacing w:beforeLines="0" w:afterLines="0" w:line="360" w:lineRule="auto"/>
        <w:ind w:firstLine="640" w:firstLineChars="200"/>
        <w:rPr>
          <w:rFonts w:hint="eastAsia" w:ascii="仿宋_GB2312" w:hAnsi="仿宋_GB2312" w:eastAsia="仿宋_GB2312"/>
          <w:kern w:val="0"/>
          <w:sz w:val="32"/>
          <w:szCs w:val="24"/>
          <w:lang w:val="en-US" w:eastAsia="zh-CN"/>
        </w:rPr>
      </w:pPr>
      <w:r>
        <w:rPr>
          <w:rFonts w:hint="eastAsia" w:ascii="仿宋_GB2312" w:hAnsi="仿宋_GB2312" w:eastAsia="仿宋_GB2312"/>
          <w:kern w:val="0"/>
          <w:sz w:val="32"/>
          <w:szCs w:val="24"/>
          <w:lang w:val="en-US" w:eastAsia="zh-CN"/>
        </w:rPr>
        <w:t xml:space="preserve"> </w:t>
      </w:r>
      <w:r>
        <w:rPr>
          <w:rFonts w:hint="eastAsia" w:ascii="仿宋_GB2312" w:hAnsi="仿宋_GB2312" w:eastAsia="仿宋_GB2312"/>
          <w:kern w:val="0"/>
          <w:sz w:val="32"/>
          <w:szCs w:val="24"/>
          <w:lang w:val="en-US"/>
        </w:rPr>
        <w:t>2、拟订片区发展规划，提出强化“两个机制”、夯实基层基础工作的建议和措施，并组织实施。</w:t>
      </w:r>
    </w:p>
    <w:p>
      <w:pPr>
        <w:shd w:val="clear" w:color="auto" w:fill="FFFFFF"/>
        <w:spacing w:beforeLines="0" w:afterLines="0" w:line="360" w:lineRule="auto"/>
        <w:ind w:firstLine="640" w:firstLineChars="200"/>
        <w:rPr>
          <w:rFonts w:hint="eastAsia" w:ascii="仿宋_GB2312" w:hAnsi="仿宋_GB2312" w:eastAsia="仿宋_GB2312"/>
          <w:kern w:val="0"/>
          <w:sz w:val="32"/>
          <w:szCs w:val="24"/>
          <w:lang w:val="en-US" w:eastAsia="zh-CN"/>
        </w:rPr>
      </w:pPr>
      <w:r>
        <w:rPr>
          <w:rFonts w:hint="eastAsia" w:ascii="仿宋_GB2312" w:hAnsi="仿宋_GB2312" w:eastAsia="仿宋_GB2312"/>
          <w:kern w:val="0"/>
          <w:sz w:val="32"/>
          <w:szCs w:val="24"/>
          <w:lang w:val="en-US" w:eastAsia="zh-CN"/>
        </w:rPr>
        <w:t xml:space="preserve"> </w:t>
      </w:r>
      <w:r>
        <w:rPr>
          <w:rFonts w:hint="eastAsia" w:ascii="仿宋_GB2312" w:hAnsi="仿宋_GB2312" w:eastAsia="仿宋_GB2312"/>
          <w:kern w:val="0"/>
          <w:sz w:val="32"/>
          <w:szCs w:val="24"/>
          <w:lang w:val="en-US"/>
        </w:rPr>
        <w:t>3、统筹整合辖区行政资源、社会资源和公共服务资源，综合协调相关职能部门和驻区企事业单位，为辖区居民提供民生保障、社会治安、城市管理等综合服务。</w:t>
      </w:r>
    </w:p>
    <w:p>
      <w:pPr>
        <w:shd w:val="clear" w:color="auto" w:fill="FFFFFF"/>
        <w:spacing w:beforeLines="0" w:afterLines="0" w:line="360" w:lineRule="auto"/>
        <w:ind w:firstLine="640" w:firstLineChars="200"/>
        <w:rPr>
          <w:rFonts w:hint="default" w:eastAsia="Times New Roman"/>
          <w:sz w:val="32"/>
          <w:szCs w:val="24"/>
          <w:lang w:val="zh-CN"/>
        </w:rPr>
      </w:pPr>
      <w:r>
        <w:rPr>
          <w:rFonts w:hint="eastAsia" w:ascii="仿宋_GB2312" w:hAnsi="仿宋_GB2312" w:eastAsia="仿宋_GB2312"/>
          <w:kern w:val="0"/>
          <w:sz w:val="32"/>
          <w:szCs w:val="24"/>
          <w:lang w:val="en-US" w:eastAsia="zh-CN"/>
        </w:rPr>
        <w:t xml:space="preserve"> </w:t>
      </w:r>
      <w:r>
        <w:rPr>
          <w:rFonts w:hint="eastAsia" w:ascii="仿宋_GB2312" w:hAnsi="仿宋_GB2312" w:eastAsia="仿宋_GB2312"/>
          <w:kern w:val="0"/>
          <w:sz w:val="32"/>
          <w:szCs w:val="24"/>
          <w:lang w:val="en-US"/>
        </w:rPr>
        <w:t>4、对相关职能部门和驻区企事业单位履行社会管理和公共服务职能情况进行监督、检查和考核。</w:t>
      </w:r>
    </w:p>
    <w:p>
      <w:pPr>
        <w:spacing w:beforeLines="0" w:afterLines="0" w:line="360" w:lineRule="auto"/>
        <w:ind w:firstLine="640"/>
        <w:rPr>
          <w:rFonts w:hint="default" w:eastAsia="Times New Roman"/>
          <w:sz w:val="32"/>
          <w:szCs w:val="24"/>
          <w:lang w:val="zh-CN"/>
        </w:rPr>
      </w:pPr>
      <w:r>
        <w:rPr>
          <w:rFonts w:hint="eastAsia" w:ascii="黑体" w:hAnsi="黑体" w:eastAsia="黑体"/>
          <w:sz w:val="32"/>
          <w:szCs w:val="24"/>
          <w:lang w:val="zh-CN"/>
        </w:rPr>
        <w:t>二、机构设置及人员情况</w:t>
      </w:r>
    </w:p>
    <w:p>
      <w:pPr>
        <w:shd w:val="clear" w:color="auto" w:fill="FFFFFF"/>
        <w:spacing w:beforeLines="0" w:afterLines="0" w:line="360" w:lineRule="auto"/>
        <w:ind w:firstLine="640"/>
        <w:rPr>
          <w:rFonts w:hint="default" w:eastAsia="Times New Roman"/>
          <w:kern w:val="0"/>
          <w:sz w:val="32"/>
          <w:szCs w:val="24"/>
          <w:lang w:val="en-US"/>
        </w:rPr>
      </w:pPr>
      <w:r>
        <w:rPr>
          <w:rFonts w:hint="eastAsia" w:ascii="仿宋_GB2312" w:hAnsi="仿宋_GB2312" w:eastAsia="仿宋_GB2312"/>
          <w:kern w:val="0"/>
          <w:sz w:val="32"/>
          <w:szCs w:val="24"/>
          <w:lang w:val="en-US"/>
        </w:rPr>
        <w:t>乌鲁木齐高新技术产业开发区（</w:t>
      </w:r>
      <w:r>
        <w:rPr>
          <w:rFonts w:hint="eastAsia" w:ascii="仿宋_GB2312" w:hAnsi="仿宋_GB2312" w:eastAsia="仿宋_GB2312"/>
          <w:kern w:val="0"/>
          <w:sz w:val="32"/>
          <w:szCs w:val="24"/>
          <w:lang w:val="en-US" w:eastAsia="zh-CN"/>
        </w:rPr>
        <w:t>乌鲁木齐市</w:t>
      </w:r>
      <w:r>
        <w:rPr>
          <w:rFonts w:hint="eastAsia" w:ascii="仿宋_GB2312" w:hAnsi="仿宋_GB2312" w:eastAsia="仿宋_GB2312"/>
          <w:kern w:val="0"/>
          <w:sz w:val="32"/>
          <w:szCs w:val="24"/>
          <w:lang w:val="en-US"/>
        </w:rPr>
        <w:t>新市区）长春中路片区管</w:t>
      </w:r>
      <w:r>
        <w:rPr>
          <w:rFonts w:hint="eastAsia" w:ascii="仿宋_GB2312" w:hAnsi="仿宋_GB2312" w:eastAsia="仿宋_GB2312"/>
          <w:kern w:val="0"/>
          <w:sz w:val="32"/>
          <w:szCs w:val="24"/>
          <w:lang w:val="en-US" w:eastAsia="zh-CN"/>
        </w:rPr>
        <w:t>理</w:t>
      </w:r>
      <w:r>
        <w:rPr>
          <w:rFonts w:hint="eastAsia" w:ascii="仿宋_GB2312" w:hAnsi="仿宋_GB2312" w:eastAsia="仿宋_GB2312"/>
          <w:kern w:val="0"/>
          <w:sz w:val="32"/>
          <w:szCs w:val="24"/>
          <w:lang w:val="en-US"/>
        </w:rPr>
        <w:t>委</w:t>
      </w:r>
      <w:r>
        <w:rPr>
          <w:rFonts w:hint="eastAsia" w:ascii="仿宋_GB2312" w:hAnsi="仿宋_GB2312" w:eastAsia="仿宋_GB2312"/>
          <w:kern w:val="0"/>
          <w:sz w:val="32"/>
          <w:szCs w:val="24"/>
          <w:lang w:val="en-US" w:eastAsia="zh-CN"/>
        </w:rPr>
        <w:t>员</w:t>
      </w:r>
      <w:r>
        <w:rPr>
          <w:rFonts w:hint="eastAsia" w:ascii="仿宋_GB2312" w:hAnsi="仿宋_GB2312" w:eastAsia="仿宋_GB2312"/>
          <w:kern w:val="0"/>
          <w:sz w:val="32"/>
          <w:szCs w:val="24"/>
          <w:lang w:val="en-US"/>
        </w:rPr>
        <w:t>会2021年度，实有人数131人，其中：在职人员131人，离休人员0人，退休人员0人。</w:t>
      </w:r>
    </w:p>
    <w:p>
      <w:pPr>
        <w:shd w:val="clear" w:color="auto" w:fill="FFFFFF"/>
        <w:spacing w:before="100" w:beforeLines="0" w:afterLines="0" w:line="360" w:lineRule="auto"/>
        <w:ind w:firstLine="482"/>
        <w:rPr>
          <w:rFonts w:hint="default" w:eastAsia="Times New Roman"/>
          <w:kern w:val="0"/>
          <w:sz w:val="28"/>
          <w:szCs w:val="24"/>
          <w:lang w:val="zh-CN"/>
        </w:rPr>
      </w:pPr>
      <w:r>
        <w:rPr>
          <w:rFonts w:hint="eastAsia" w:ascii="仿宋_GB2312" w:hAnsi="仿宋_GB2312" w:eastAsia="仿宋_GB2312"/>
          <w:kern w:val="0"/>
          <w:sz w:val="32"/>
          <w:szCs w:val="24"/>
          <w:lang w:val="en-US"/>
        </w:rPr>
        <w:t>从部门决算单位构成看，乌鲁木齐高新技术产业开发区（</w:t>
      </w:r>
      <w:r>
        <w:rPr>
          <w:rFonts w:hint="eastAsia" w:ascii="仿宋_GB2312" w:hAnsi="仿宋_GB2312" w:eastAsia="仿宋_GB2312"/>
          <w:kern w:val="0"/>
          <w:sz w:val="32"/>
          <w:szCs w:val="24"/>
          <w:lang w:val="en-US" w:eastAsia="zh-CN"/>
        </w:rPr>
        <w:t>乌鲁木齐市</w:t>
      </w:r>
      <w:r>
        <w:rPr>
          <w:rFonts w:hint="eastAsia" w:ascii="仿宋_GB2312" w:hAnsi="仿宋_GB2312" w:eastAsia="仿宋_GB2312"/>
          <w:kern w:val="0"/>
          <w:sz w:val="32"/>
          <w:szCs w:val="24"/>
          <w:lang w:val="en-US"/>
        </w:rPr>
        <w:t>新市区）长春中路片区管</w:t>
      </w:r>
      <w:r>
        <w:rPr>
          <w:rFonts w:hint="eastAsia" w:ascii="仿宋_GB2312" w:hAnsi="仿宋_GB2312" w:eastAsia="仿宋_GB2312"/>
          <w:kern w:val="0"/>
          <w:sz w:val="32"/>
          <w:szCs w:val="24"/>
          <w:lang w:val="en-US" w:eastAsia="zh-CN"/>
        </w:rPr>
        <w:t>理</w:t>
      </w:r>
      <w:r>
        <w:rPr>
          <w:rFonts w:hint="eastAsia" w:ascii="仿宋_GB2312" w:hAnsi="仿宋_GB2312" w:eastAsia="仿宋_GB2312"/>
          <w:kern w:val="0"/>
          <w:sz w:val="32"/>
          <w:szCs w:val="24"/>
          <w:lang w:val="en-US"/>
        </w:rPr>
        <w:t>委</w:t>
      </w:r>
      <w:r>
        <w:rPr>
          <w:rFonts w:hint="eastAsia" w:ascii="仿宋_GB2312" w:hAnsi="仿宋_GB2312" w:eastAsia="仿宋_GB2312"/>
          <w:kern w:val="0"/>
          <w:sz w:val="32"/>
          <w:szCs w:val="24"/>
          <w:lang w:val="en-US" w:eastAsia="zh-CN"/>
        </w:rPr>
        <w:t>员</w:t>
      </w:r>
      <w:r>
        <w:rPr>
          <w:rFonts w:hint="eastAsia" w:ascii="仿宋_GB2312" w:hAnsi="仿宋_GB2312" w:eastAsia="仿宋_GB2312"/>
          <w:kern w:val="0"/>
          <w:sz w:val="32"/>
          <w:szCs w:val="24"/>
          <w:lang w:val="en-US"/>
        </w:rPr>
        <w:t>会部门决算包括：乌鲁木齐高新技术产业开发区（</w:t>
      </w:r>
      <w:r>
        <w:rPr>
          <w:rFonts w:hint="eastAsia" w:ascii="仿宋_GB2312" w:hAnsi="仿宋_GB2312" w:eastAsia="仿宋_GB2312"/>
          <w:kern w:val="0"/>
          <w:sz w:val="32"/>
          <w:szCs w:val="24"/>
          <w:lang w:val="en-US" w:eastAsia="zh-CN"/>
        </w:rPr>
        <w:t>乌鲁木齐市</w:t>
      </w:r>
      <w:r>
        <w:rPr>
          <w:rFonts w:hint="eastAsia" w:ascii="仿宋_GB2312" w:hAnsi="仿宋_GB2312" w:eastAsia="仿宋_GB2312"/>
          <w:kern w:val="0"/>
          <w:sz w:val="32"/>
          <w:szCs w:val="24"/>
          <w:lang w:val="en-US"/>
        </w:rPr>
        <w:t>新市区）长春中路片区管</w:t>
      </w:r>
      <w:r>
        <w:rPr>
          <w:rFonts w:hint="eastAsia" w:ascii="仿宋_GB2312" w:hAnsi="仿宋_GB2312" w:eastAsia="仿宋_GB2312"/>
          <w:kern w:val="0"/>
          <w:sz w:val="32"/>
          <w:szCs w:val="24"/>
          <w:lang w:val="en-US" w:eastAsia="zh-CN"/>
        </w:rPr>
        <w:t>理</w:t>
      </w:r>
      <w:r>
        <w:rPr>
          <w:rFonts w:hint="eastAsia" w:ascii="仿宋_GB2312" w:hAnsi="仿宋_GB2312" w:eastAsia="仿宋_GB2312"/>
          <w:kern w:val="0"/>
          <w:sz w:val="32"/>
          <w:szCs w:val="24"/>
          <w:lang w:val="en-US"/>
        </w:rPr>
        <w:t>委</w:t>
      </w:r>
      <w:r>
        <w:rPr>
          <w:rFonts w:hint="eastAsia" w:ascii="仿宋_GB2312" w:hAnsi="仿宋_GB2312" w:eastAsia="仿宋_GB2312"/>
          <w:kern w:val="0"/>
          <w:sz w:val="32"/>
          <w:szCs w:val="24"/>
          <w:lang w:val="en-US" w:eastAsia="zh-CN"/>
        </w:rPr>
        <w:t>员</w:t>
      </w:r>
      <w:r>
        <w:rPr>
          <w:rFonts w:hint="eastAsia" w:ascii="仿宋_GB2312" w:hAnsi="仿宋_GB2312" w:eastAsia="仿宋_GB2312"/>
          <w:kern w:val="0"/>
          <w:sz w:val="32"/>
          <w:szCs w:val="24"/>
          <w:lang w:val="en-US"/>
        </w:rPr>
        <w:t>会</w:t>
      </w:r>
      <w:r>
        <w:rPr>
          <w:rFonts w:hint="eastAsia" w:ascii="仿宋_GB2312" w:hAnsi="仿宋_GB2312" w:eastAsia="仿宋_GB2312"/>
          <w:kern w:val="0"/>
          <w:sz w:val="32"/>
          <w:szCs w:val="24"/>
          <w:lang w:val="zh-CN"/>
        </w:rPr>
        <w:t>决算。单位无下属预算单位，下设</w:t>
      </w:r>
      <w:r>
        <w:rPr>
          <w:rFonts w:hint="eastAsia" w:ascii="仿宋_GB2312" w:hAnsi="仿宋_GB2312" w:eastAsia="仿宋_GB2312"/>
          <w:kern w:val="0"/>
          <w:sz w:val="32"/>
          <w:szCs w:val="24"/>
          <w:lang w:val="en-US" w:eastAsia="zh-CN"/>
        </w:rPr>
        <w:t>7</w:t>
      </w:r>
      <w:r>
        <w:rPr>
          <w:rFonts w:hint="eastAsia" w:ascii="仿宋_GB2312" w:hAnsi="仿宋_GB2312" w:eastAsia="仿宋_GB2312"/>
          <w:kern w:val="0"/>
          <w:sz w:val="32"/>
          <w:szCs w:val="24"/>
          <w:lang w:val="zh-CN"/>
        </w:rPr>
        <w:t>个科室，分别是：</w:t>
      </w:r>
      <w:r>
        <w:rPr>
          <w:rFonts w:hint="eastAsia" w:ascii="仿宋_GB2312" w:eastAsia="仿宋_GB2312"/>
          <w:kern w:val="0"/>
          <w:sz w:val="32"/>
          <w:szCs w:val="24"/>
        </w:rPr>
        <w:t>党政办公室、协调指导科、行政社会事务执法管理服务中心、综治信访维稳中心(安全生产监督管理站、城区管理服务中心、流动人口出租房屋管理中心、物业管理服务中心</w:t>
      </w:r>
      <w:r>
        <w:rPr>
          <w:rFonts w:hint="eastAsia" w:ascii="仿宋_GB2312" w:hAnsi="仿宋_GB2312" w:eastAsia="仿宋_GB2312"/>
          <w:kern w:val="0"/>
          <w:sz w:val="32"/>
          <w:szCs w:val="24"/>
          <w:lang w:val="zh-CN"/>
        </w:rPr>
        <w:t>。</w:t>
      </w:r>
    </w:p>
    <w:p>
      <w:pPr>
        <w:shd w:val="clear" w:color="auto" w:fill="FFFFFF"/>
        <w:spacing w:before="100" w:beforeLines="0" w:after="240" w:afterLines="0"/>
        <w:jc w:val="center"/>
        <w:rPr>
          <w:rFonts w:hint="default" w:eastAsia="Times New Roman"/>
          <w:kern w:val="0"/>
          <w:sz w:val="28"/>
          <w:szCs w:val="24"/>
          <w:lang w:val="ar-SA"/>
        </w:rPr>
      </w:pPr>
      <w:r>
        <w:rPr>
          <w:rFonts w:hint="eastAsia" w:ascii="黑体" w:hAnsi="黑体" w:eastAsia="黑体"/>
          <w:kern w:val="0"/>
          <w:sz w:val="32"/>
          <w:szCs w:val="24"/>
          <w:lang w:val="en-US"/>
        </w:rPr>
        <w:t>第二部分 部门决算情况说明</w:t>
      </w:r>
    </w:p>
    <w:p>
      <w:pPr>
        <w:spacing w:beforeLines="0" w:afterLines="0" w:line="360" w:lineRule="auto"/>
        <w:ind w:firstLine="640"/>
        <w:rPr>
          <w:rFonts w:hint="default" w:eastAsia="Times New Roman"/>
          <w:sz w:val="32"/>
          <w:szCs w:val="24"/>
          <w:lang w:val="zh-CN"/>
        </w:rPr>
      </w:pPr>
      <w:r>
        <w:rPr>
          <w:rFonts w:hint="eastAsia" w:ascii="黑体" w:hAnsi="黑体" w:eastAsia="黑体"/>
          <w:sz w:val="32"/>
          <w:szCs w:val="24"/>
          <w:lang w:val="zh-CN"/>
        </w:rPr>
        <w:t>一、收入支出决算总体情况说明</w:t>
      </w:r>
    </w:p>
    <w:p>
      <w:pPr>
        <w:shd w:val="clear" w:color="auto" w:fill="FFFFFF"/>
        <w:spacing w:beforeLines="0" w:afterLines="0" w:line="360" w:lineRule="auto"/>
        <w:ind w:firstLine="640"/>
        <w:rPr>
          <w:rFonts w:hint="default" w:eastAsia="Times New Roman"/>
          <w:kern w:val="0"/>
          <w:sz w:val="32"/>
          <w:szCs w:val="24"/>
          <w:lang w:val="en-US"/>
        </w:rPr>
      </w:pPr>
      <w:r>
        <w:rPr>
          <w:rFonts w:hint="eastAsia" w:ascii="仿宋_GB2312" w:hAnsi="仿宋_GB2312" w:eastAsia="仿宋_GB2312"/>
          <w:kern w:val="0"/>
          <w:sz w:val="32"/>
          <w:szCs w:val="24"/>
          <w:lang w:val="en-US"/>
        </w:rPr>
        <w:t>2021年度本年收入3,876.69万元，与上年相比，增加788.05万元，增长25.51%，主要原因是：由于本年社区提档升级，打造党建示范社区，因此项目收入相比上年增加。本年支出3,917.57万元，与上年相比，增加865.67万元，增长28.36%，主要原因是：由于本年社区提档升级，打造党建示范社区，因此项目开支相比上年增加。</w:t>
      </w:r>
    </w:p>
    <w:p>
      <w:pPr>
        <w:spacing w:beforeLines="0" w:afterLines="0" w:line="360" w:lineRule="auto"/>
        <w:ind w:firstLine="640"/>
        <w:rPr>
          <w:rFonts w:hint="default" w:eastAsia="Times New Roman"/>
          <w:sz w:val="32"/>
          <w:szCs w:val="24"/>
          <w:lang w:val="en-US"/>
        </w:rPr>
      </w:pPr>
      <w:r>
        <w:rPr>
          <w:rFonts w:hint="eastAsia" w:ascii="黑体" w:hAnsi="黑体" w:eastAsia="黑体"/>
          <w:sz w:val="32"/>
          <w:szCs w:val="24"/>
          <w:lang w:val="zh-CN"/>
        </w:rPr>
        <w:t>二、收入决算情况说明</w:t>
      </w:r>
    </w:p>
    <w:p>
      <w:pPr>
        <w:shd w:val="clear" w:color="auto" w:fill="FFFFFF"/>
        <w:spacing w:beforeLines="0" w:afterLines="0" w:line="360" w:lineRule="auto"/>
        <w:ind w:firstLine="640"/>
        <w:rPr>
          <w:rFonts w:hint="default" w:eastAsia="Times New Roman"/>
          <w:kern w:val="0"/>
          <w:sz w:val="32"/>
          <w:szCs w:val="24"/>
          <w:lang w:val="en-US"/>
        </w:rPr>
      </w:pPr>
      <w:r>
        <w:rPr>
          <w:rFonts w:hint="eastAsia" w:ascii="仿宋_GB2312" w:hAnsi="仿宋_GB2312" w:eastAsia="仿宋_GB2312"/>
          <w:kern w:val="0"/>
          <w:sz w:val="32"/>
          <w:szCs w:val="24"/>
          <w:lang w:val="en-US"/>
        </w:rPr>
        <w:t>2021年度本年收入3,876.69万元，其中：财政拨款收入3,876.69万元，占100.00%；上级补助收入0.00万元，占0.00%；事业收入0.00万元，占0.00%；经营收入0.00万元，占0.00%；附属单位上缴收入0.00万元，占0.00%；其他收入0.00万元，占0.00%。</w:t>
      </w:r>
    </w:p>
    <w:p>
      <w:pPr>
        <w:spacing w:beforeLines="0" w:afterLines="0" w:line="360" w:lineRule="auto"/>
        <w:ind w:firstLine="640"/>
        <w:rPr>
          <w:rFonts w:hint="default" w:eastAsia="Times New Roman"/>
          <w:sz w:val="32"/>
          <w:szCs w:val="24"/>
          <w:lang w:val="en-US"/>
        </w:rPr>
      </w:pPr>
      <w:r>
        <w:rPr>
          <w:rFonts w:hint="eastAsia" w:ascii="黑体" w:hAnsi="黑体" w:eastAsia="黑体"/>
          <w:sz w:val="32"/>
          <w:szCs w:val="24"/>
          <w:lang w:val="zh-CN"/>
        </w:rPr>
        <w:t>三、支出决算情况说明</w:t>
      </w:r>
    </w:p>
    <w:p>
      <w:pPr>
        <w:shd w:val="clear" w:color="auto" w:fill="FFFFFF"/>
        <w:spacing w:beforeLines="0" w:afterLines="0" w:line="360" w:lineRule="auto"/>
        <w:ind w:firstLine="640"/>
        <w:rPr>
          <w:rFonts w:hint="default" w:eastAsia="Times New Roman"/>
          <w:kern w:val="0"/>
          <w:sz w:val="32"/>
          <w:szCs w:val="24"/>
          <w:lang w:val="en-US"/>
        </w:rPr>
      </w:pPr>
      <w:r>
        <w:rPr>
          <w:rFonts w:hint="eastAsia" w:ascii="仿宋_GB2312" w:hAnsi="仿宋_GB2312" w:eastAsia="仿宋_GB2312"/>
          <w:kern w:val="0"/>
          <w:sz w:val="32"/>
          <w:szCs w:val="24"/>
          <w:lang w:val="en-US"/>
        </w:rPr>
        <w:t>2021年度本年支出3,917.57万元，其中：基本支出2,749.42万元，占70.18%；项目支出1,168.15万元，占29.82%；上缴上级支出0.00万元，占0.00%；经营支出0.00万元，占0.00%；对附属单位补助支出0.00万元，占0.00%。</w:t>
      </w:r>
    </w:p>
    <w:p>
      <w:pPr>
        <w:spacing w:beforeLines="0" w:afterLines="0" w:line="360" w:lineRule="auto"/>
        <w:ind w:firstLine="640"/>
        <w:rPr>
          <w:rFonts w:hint="default" w:eastAsia="Times New Roman"/>
          <w:sz w:val="32"/>
          <w:szCs w:val="24"/>
          <w:lang w:val="zh-CN"/>
        </w:rPr>
      </w:pPr>
      <w:r>
        <w:rPr>
          <w:rFonts w:hint="eastAsia" w:ascii="黑体" w:hAnsi="黑体" w:eastAsia="黑体"/>
          <w:sz w:val="32"/>
          <w:szCs w:val="24"/>
          <w:lang w:val="zh-CN"/>
        </w:rPr>
        <w:t>四、财政拨款收入支出决算总体情况说明</w:t>
      </w:r>
    </w:p>
    <w:p>
      <w:pPr>
        <w:shd w:val="clear" w:color="auto" w:fill="FFFFFF"/>
        <w:spacing w:beforeLines="0" w:afterLines="0" w:line="360" w:lineRule="auto"/>
        <w:ind w:firstLine="640"/>
        <w:rPr>
          <w:rFonts w:hint="default" w:eastAsia="Times New Roman"/>
          <w:kern w:val="0"/>
          <w:sz w:val="32"/>
          <w:szCs w:val="24"/>
          <w:lang w:val="en-US"/>
        </w:rPr>
      </w:pPr>
      <w:r>
        <w:rPr>
          <w:rFonts w:hint="eastAsia" w:ascii="仿宋_GB2312" w:hAnsi="仿宋_GB2312" w:eastAsia="仿宋_GB2312"/>
          <w:kern w:val="0"/>
          <w:sz w:val="32"/>
          <w:szCs w:val="24"/>
          <w:lang w:val="en-US"/>
        </w:rPr>
        <w:t>2021年度财政拨款收入3,876.69万元，与上年相比，增加788.05万元，增长25.51%，主要原因是：由于本年社区提档升级，打造党建示范社区，因此项目收入相比上年增加。财政拨款支出3,914.55万元，与上年相比，增加862.65万元，增长28.27%，主要原因是：由于本年社区提档升级，打造党建示范社区，因此项目开支相比上年增加。</w:t>
      </w:r>
    </w:p>
    <w:p>
      <w:pPr>
        <w:shd w:val="clear" w:color="auto" w:fill="FFFFFF"/>
        <w:spacing w:beforeLines="0" w:afterLines="0" w:line="360" w:lineRule="auto"/>
        <w:ind w:firstLine="640"/>
        <w:rPr>
          <w:rFonts w:hint="default" w:eastAsia="Times New Roman"/>
          <w:kern w:val="0"/>
          <w:sz w:val="32"/>
          <w:szCs w:val="24"/>
          <w:lang w:val="en-US"/>
        </w:rPr>
      </w:pPr>
      <w:r>
        <w:rPr>
          <w:rFonts w:hint="eastAsia" w:ascii="仿宋_GB2312" w:hAnsi="仿宋_GB2312" w:eastAsia="仿宋_GB2312"/>
          <w:kern w:val="0"/>
          <w:sz w:val="32"/>
          <w:szCs w:val="24"/>
          <w:lang w:val="en-US"/>
        </w:rPr>
        <w:t>与年初预算数相比情况：财政拨款收入年初预算数5,079.91万元，决算数3,876.69万元，预决算差异率-23.69%，主要原因是：</w:t>
      </w:r>
      <w:r>
        <w:rPr>
          <w:rFonts w:hint="eastAsia" w:ascii="仿宋_GB2312" w:hAnsi="仿宋_GB2312" w:eastAsia="仿宋_GB2312"/>
          <w:kern w:val="0"/>
          <w:sz w:val="32"/>
          <w:szCs w:val="24"/>
          <w:lang w:val="en-US" w:eastAsia="zh-CN"/>
        </w:rPr>
        <w:t>受疫情影响，项目执行进度缓慢。</w:t>
      </w:r>
      <w:r>
        <w:rPr>
          <w:rFonts w:hint="eastAsia" w:ascii="仿宋_GB2312" w:hAnsi="仿宋_GB2312" w:eastAsia="仿宋_GB2312"/>
          <w:kern w:val="0"/>
          <w:sz w:val="32"/>
          <w:szCs w:val="24"/>
          <w:lang w:val="en-US"/>
        </w:rPr>
        <w:t>财政拨款支出年初预算数5,079.91万元，决算数3,914.55万元，预决算差异率-22.94%，主要原因是：</w:t>
      </w:r>
      <w:r>
        <w:rPr>
          <w:rFonts w:hint="eastAsia" w:ascii="仿宋_GB2312" w:hAnsi="仿宋_GB2312" w:eastAsia="仿宋_GB2312"/>
          <w:kern w:val="0"/>
          <w:sz w:val="32"/>
          <w:szCs w:val="24"/>
          <w:lang w:val="en-US" w:eastAsia="zh-CN"/>
        </w:rPr>
        <w:t>受疫情影响，项目执行进度缓慢</w:t>
      </w:r>
      <w:r>
        <w:rPr>
          <w:rFonts w:hint="eastAsia" w:ascii="仿宋_GB2312" w:hAnsi="仿宋_GB2312" w:eastAsia="仿宋_GB2312"/>
          <w:kern w:val="0"/>
          <w:sz w:val="32"/>
          <w:szCs w:val="24"/>
          <w:lang w:val="en-US"/>
        </w:rPr>
        <w:t>。</w:t>
      </w:r>
    </w:p>
    <w:p>
      <w:pPr>
        <w:spacing w:beforeLines="0" w:afterLines="0" w:line="360" w:lineRule="auto"/>
        <w:ind w:firstLine="640"/>
        <w:rPr>
          <w:rFonts w:hint="default" w:eastAsia="Times New Roman"/>
          <w:sz w:val="32"/>
          <w:szCs w:val="24"/>
          <w:lang w:val="zh-CN"/>
        </w:rPr>
      </w:pPr>
      <w:r>
        <w:rPr>
          <w:rFonts w:hint="eastAsia" w:ascii="黑体" w:hAnsi="黑体" w:eastAsia="黑体"/>
          <w:sz w:val="32"/>
          <w:szCs w:val="24"/>
          <w:lang w:val="zh-CN"/>
        </w:rPr>
        <w:t>五、一般公共预算财政拨款支出决算情况说明</w:t>
      </w:r>
    </w:p>
    <w:p>
      <w:pPr>
        <w:spacing w:beforeLines="0" w:afterLines="0" w:line="360" w:lineRule="auto"/>
        <w:ind w:firstLine="640"/>
        <w:rPr>
          <w:rFonts w:hint="eastAsia" w:ascii="仿宋_GB2312" w:hAnsi="仿宋_GB2312" w:eastAsia="仿宋_GB2312"/>
          <w:kern w:val="0"/>
          <w:sz w:val="32"/>
          <w:szCs w:val="24"/>
          <w:lang w:val="en-US" w:eastAsia="zh-CN"/>
        </w:rPr>
      </w:pPr>
      <w:r>
        <w:rPr>
          <w:rFonts w:hint="eastAsia" w:ascii="仿宋_GB2312" w:hAnsi="仿宋_GB2312" w:eastAsia="仿宋_GB2312"/>
          <w:kern w:val="0"/>
          <w:sz w:val="32"/>
          <w:szCs w:val="24"/>
          <w:lang w:val="en-US"/>
        </w:rPr>
        <w:t>2021年度一般公共预算财政拨款支出3,91</w:t>
      </w:r>
      <w:r>
        <w:rPr>
          <w:rFonts w:hint="eastAsia" w:ascii="仿宋_GB2312" w:hAnsi="仿宋_GB2312" w:eastAsia="仿宋_GB2312"/>
          <w:kern w:val="0"/>
          <w:sz w:val="32"/>
          <w:szCs w:val="24"/>
          <w:lang w:val="en-US" w:eastAsia="zh-CN"/>
        </w:rPr>
        <w:t>7</w:t>
      </w:r>
      <w:r>
        <w:rPr>
          <w:rFonts w:hint="eastAsia" w:ascii="仿宋_GB2312" w:hAnsi="仿宋_GB2312" w:eastAsia="仿宋_GB2312"/>
          <w:kern w:val="0"/>
          <w:sz w:val="32"/>
          <w:szCs w:val="24"/>
          <w:lang w:val="en-US"/>
        </w:rPr>
        <w:t>.5</w:t>
      </w:r>
      <w:r>
        <w:rPr>
          <w:rFonts w:hint="eastAsia" w:ascii="仿宋_GB2312" w:hAnsi="仿宋_GB2312" w:eastAsia="仿宋_GB2312"/>
          <w:kern w:val="0"/>
          <w:sz w:val="32"/>
          <w:szCs w:val="24"/>
          <w:lang w:val="en-US" w:eastAsia="zh-CN"/>
        </w:rPr>
        <w:t>7</w:t>
      </w:r>
      <w:r>
        <w:rPr>
          <w:rFonts w:hint="eastAsia" w:ascii="仿宋_GB2312" w:hAnsi="仿宋_GB2312" w:eastAsia="仿宋_GB2312"/>
          <w:kern w:val="0"/>
          <w:sz w:val="32"/>
          <w:szCs w:val="24"/>
          <w:lang w:val="en-US"/>
        </w:rPr>
        <w:t>万元。按功能分类科目项级科目公开，其中</w:t>
      </w:r>
      <w:r>
        <w:rPr>
          <w:rFonts w:hint="eastAsia" w:ascii="仿宋_GB2312" w:hAnsi="仿宋_GB2312" w:eastAsia="仿宋_GB2312"/>
          <w:kern w:val="0"/>
          <w:sz w:val="32"/>
          <w:szCs w:val="24"/>
          <w:lang w:val="en-US" w:eastAsia="zh-CN"/>
        </w:rPr>
        <w:t>：</w:t>
      </w:r>
    </w:p>
    <w:p>
      <w:pPr>
        <w:spacing w:beforeLines="0" w:afterLines="0" w:line="360" w:lineRule="auto"/>
        <w:ind w:firstLine="640" w:firstLineChars="200"/>
        <w:rPr>
          <w:rFonts w:hint="eastAsia" w:ascii="仿宋_GB2312" w:hAnsi="仿宋_GB2312" w:eastAsia="仿宋_GB2312"/>
          <w:kern w:val="0"/>
          <w:sz w:val="32"/>
          <w:szCs w:val="24"/>
          <w:lang w:val="en-US" w:eastAsia="zh-CN"/>
        </w:rPr>
      </w:pPr>
      <w:r>
        <w:rPr>
          <w:rFonts w:hint="eastAsia" w:ascii="仿宋_GB2312" w:hAnsi="仿宋_GB2312" w:eastAsia="仿宋_GB2312"/>
          <w:kern w:val="0"/>
          <w:sz w:val="32"/>
          <w:szCs w:val="24"/>
          <w:lang w:val="en-US" w:eastAsia="zh-CN"/>
        </w:rPr>
        <w:t>2010301行政运行2,022.43万元；</w:t>
      </w:r>
    </w:p>
    <w:p>
      <w:pPr>
        <w:spacing w:beforeLines="0" w:afterLines="0" w:line="360" w:lineRule="auto"/>
        <w:ind w:firstLine="576" w:firstLineChars="200"/>
        <w:rPr>
          <w:rFonts w:hint="eastAsia" w:ascii="仿宋_GB2312" w:hAnsi="仿宋_GB2312" w:eastAsia="仿宋_GB2312"/>
          <w:w w:val="90"/>
          <w:kern w:val="0"/>
          <w:sz w:val="32"/>
          <w:szCs w:val="24"/>
          <w:lang w:val="en-US" w:eastAsia="zh-CN"/>
        </w:rPr>
      </w:pPr>
      <w:r>
        <w:rPr>
          <w:rFonts w:hint="eastAsia" w:ascii="仿宋_GB2312" w:hAnsi="仿宋_GB2312" w:eastAsia="仿宋_GB2312"/>
          <w:w w:val="90"/>
          <w:kern w:val="0"/>
          <w:sz w:val="32"/>
          <w:szCs w:val="24"/>
          <w:lang w:val="en-US" w:eastAsia="zh-CN"/>
        </w:rPr>
        <w:t>2010399其他政府办公厅（室）及相关机构事务支出11.00万元；</w:t>
      </w:r>
    </w:p>
    <w:p>
      <w:pPr>
        <w:spacing w:beforeLines="0" w:afterLines="0" w:line="360" w:lineRule="auto"/>
        <w:ind w:firstLine="640" w:firstLineChars="200"/>
        <w:rPr>
          <w:rFonts w:hint="eastAsia" w:ascii="仿宋_GB2312" w:hAnsi="仿宋_GB2312" w:eastAsia="仿宋_GB2312"/>
          <w:kern w:val="0"/>
          <w:sz w:val="32"/>
          <w:szCs w:val="24"/>
          <w:lang w:val="en-US" w:eastAsia="zh-CN"/>
        </w:rPr>
      </w:pPr>
      <w:r>
        <w:rPr>
          <w:rFonts w:hint="eastAsia" w:ascii="仿宋_GB2312" w:hAnsi="仿宋_GB2312" w:eastAsia="仿宋_GB2312"/>
          <w:kern w:val="0"/>
          <w:sz w:val="32"/>
          <w:szCs w:val="24"/>
          <w:lang w:val="en-US" w:eastAsia="zh-CN"/>
        </w:rPr>
        <w:t>2019999其他一般公共服务支出35.00万元；</w:t>
      </w:r>
    </w:p>
    <w:p>
      <w:pPr>
        <w:spacing w:beforeLines="0" w:afterLines="0" w:line="360" w:lineRule="auto"/>
        <w:ind w:firstLine="640" w:firstLineChars="200"/>
        <w:rPr>
          <w:rFonts w:hint="eastAsia" w:ascii="仿宋_GB2312" w:hAnsi="仿宋_GB2312" w:eastAsia="仿宋_GB2312"/>
          <w:kern w:val="0"/>
          <w:sz w:val="32"/>
          <w:szCs w:val="24"/>
          <w:lang w:val="en-US" w:eastAsia="zh-CN"/>
        </w:rPr>
      </w:pPr>
      <w:r>
        <w:rPr>
          <w:rFonts w:hint="eastAsia" w:ascii="仿宋_GB2312" w:hAnsi="仿宋_GB2312" w:eastAsia="仿宋_GB2312"/>
          <w:kern w:val="0"/>
          <w:sz w:val="32"/>
          <w:szCs w:val="24"/>
          <w:lang w:val="en-US" w:eastAsia="zh-CN"/>
        </w:rPr>
        <w:t>2049999其他公共安全支出727.66万元；</w:t>
      </w:r>
    </w:p>
    <w:p>
      <w:pPr>
        <w:spacing w:beforeLines="0" w:afterLines="0" w:line="360" w:lineRule="auto"/>
        <w:ind w:firstLine="640" w:firstLineChars="200"/>
        <w:rPr>
          <w:rFonts w:hint="eastAsia" w:ascii="仿宋_GB2312" w:hAnsi="仿宋_GB2312" w:eastAsia="仿宋_GB2312"/>
          <w:kern w:val="0"/>
          <w:sz w:val="32"/>
          <w:szCs w:val="24"/>
          <w:lang w:val="en-US" w:eastAsia="zh-CN"/>
        </w:rPr>
      </w:pPr>
      <w:r>
        <w:rPr>
          <w:rFonts w:hint="eastAsia" w:ascii="仿宋_GB2312" w:hAnsi="仿宋_GB2312" w:eastAsia="仿宋_GB2312"/>
          <w:kern w:val="0"/>
          <w:sz w:val="32"/>
          <w:szCs w:val="24"/>
          <w:lang w:val="en-US" w:eastAsia="zh-CN"/>
        </w:rPr>
        <w:t>2070199其他文化和旅游支出3.60万元；</w:t>
      </w:r>
    </w:p>
    <w:p>
      <w:pPr>
        <w:spacing w:beforeLines="0" w:afterLines="0" w:line="360" w:lineRule="auto"/>
        <w:ind w:firstLine="640"/>
        <w:rPr>
          <w:rFonts w:hint="eastAsia" w:ascii="仿宋_GB2312" w:hAnsi="仿宋_GB2312" w:eastAsia="仿宋_GB2312"/>
          <w:kern w:val="0"/>
          <w:sz w:val="32"/>
          <w:szCs w:val="24"/>
          <w:lang w:val="en-US" w:eastAsia="zh-CN"/>
        </w:rPr>
      </w:pPr>
      <w:r>
        <w:rPr>
          <w:rFonts w:hint="eastAsia" w:ascii="仿宋_GB2312" w:hAnsi="仿宋_GB2312" w:eastAsia="仿宋_GB2312"/>
          <w:kern w:val="0"/>
          <w:sz w:val="32"/>
          <w:szCs w:val="24"/>
          <w:lang w:val="en-US" w:eastAsia="zh-CN"/>
        </w:rPr>
        <w:t>2080208基层政权建设和社区治理555.43万元；</w:t>
      </w:r>
    </w:p>
    <w:p>
      <w:pPr>
        <w:spacing w:beforeLines="0" w:afterLines="0" w:line="360" w:lineRule="auto"/>
        <w:ind w:firstLine="640"/>
        <w:rPr>
          <w:rFonts w:hint="eastAsia" w:ascii="仿宋_GB2312" w:hAnsi="仿宋_GB2312" w:eastAsia="仿宋_GB2312"/>
          <w:w w:val="90"/>
          <w:kern w:val="0"/>
          <w:sz w:val="32"/>
          <w:szCs w:val="24"/>
          <w:lang w:val="en-US" w:eastAsia="zh-CN"/>
        </w:rPr>
      </w:pPr>
      <w:r>
        <w:rPr>
          <w:rFonts w:hint="eastAsia" w:ascii="仿宋_GB2312" w:hAnsi="仿宋_GB2312" w:eastAsia="仿宋_GB2312"/>
          <w:w w:val="90"/>
          <w:kern w:val="0"/>
          <w:sz w:val="32"/>
          <w:szCs w:val="24"/>
          <w:lang w:val="en-US" w:eastAsia="zh-CN"/>
        </w:rPr>
        <w:t>2080505机关事业单位基本养老保险缴费支出136.48万元；</w:t>
      </w:r>
    </w:p>
    <w:p>
      <w:pPr>
        <w:spacing w:beforeLines="0" w:afterLines="0" w:line="360" w:lineRule="auto"/>
        <w:ind w:firstLine="640"/>
        <w:rPr>
          <w:rFonts w:hint="eastAsia" w:ascii="仿宋_GB2312" w:hAnsi="仿宋_GB2312" w:eastAsia="仿宋_GB2312"/>
          <w:kern w:val="0"/>
          <w:sz w:val="32"/>
          <w:szCs w:val="24"/>
          <w:lang w:val="en-US" w:eastAsia="zh-CN"/>
        </w:rPr>
      </w:pPr>
      <w:r>
        <w:rPr>
          <w:rFonts w:hint="eastAsia" w:ascii="仿宋_GB2312" w:hAnsi="仿宋_GB2312" w:eastAsia="仿宋_GB2312"/>
          <w:kern w:val="0"/>
          <w:sz w:val="32"/>
          <w:szCs w:val="24"/>
          <w:lang w:val="en-US" w:eastAsia="zh-CN"/>
        </w:rPr>
        <w:t>2100410突发公共卫生事件应急处理90万元；</w:t>
      </w:r>
    </w:p>
    <w:p>
      <w:pPr>
        <w:spacing w:beforeLines="0" w:afterLines="0" w:line="360" w:lineRule="auto"/>
        <w:ind w:firstLine="640"/>
        <w:rPr>
          <w:rFonts w:hint="eastAsia" w:ascii="仿宋_GB2312" w:hAnsi="仿宋_GB2312" w:eastAsia="仿宋_GB2312"/>
          <w:kern w:val="0"/>
          <w:sz w:val="22"/>
          <w:szCs w:val="24"/>
          <w:lang w:val="en-US" w:eastAsia="zh-CN"/>
        </w:rPr>
      </w:pPr>
      <w:r>
        <w:rPr>
          <w:rFonts w:hint="eastAsia" w:ascii="仿宋_GB2312" w:hAnsi="仿宋_GB2312" w:eastAsia="仿宋_GB2312"/>
          <w:kern w:val="0"/>
          <w:sz w:val="32"/>
          <w:szCs w:val="24"/>
          <w:lang w:val="en-US" w:eastAsia="zh-CN"/>
        </w:rPr>
        <w:t>2100799其他计划生育事务支出335.97万元。</w:t>
      </w:r>
    </w:p>
    <w:p>
      <w:pPr>
        <w:spacing w:beforeLines="0" w:afterLines="0" w:line="360" w:lineRule="auto"/>
        <w:ind w:firstLine="640"/>
        <w:rPr>
          <w:rFonts w:hint="default" w:eastAsia="Times New Roman"/>
          <w:sz w:val="32"/>
          <w:szCs w:val="24"/>
          <w:lang w:val="zh-CN"/>
        </w:rPr>
      </w:pPr>
      <w:r>
        <w:rPr>
          <w:rFonts w:hint="eastAsia" w:ascii="黑体" w:hAnsi="黑体" w:eastAsia="黑体"/>
          <w:sz w:val="32"/>
          <w:szCs w:val="24"/>
          <w:lang w:val="zh-CN"/>
        </w:rPr>
        <w:t>六、一般公共预算财政拨款基本支出决算情况说明</w:t>
      </w:r>
    </w:p>
    <w:p>
      <w:pPr>
        <w:shd w:val="clear" w:color="auto" w:fill="FFFFFF"/>
        <w:spacing w:beforeLines="0" w:afterLines="0" w:line="360" w:lineRule="auto"/>
        <w:ind w:firstLine="640"/>
        <w:rPr>
          <w:rFonts w:hint="default" w:eastAsia="Times New Roman"/>
          <w:kern w:val="0"/>
          <w:sz w:val="32"/>
          <w:szCs w:val="24"/>
          <w:lang w:val="en-US"/>
        </w:rPr>
      </w:pPr>
      <w:r>
        <w:rPr>
          <w:rFonts w:hint="eastAsia" w:ascii="仿宋_GB2312" w:hAnsi="仿宋_GB2312" w:eastAsia="仿宋_GB2312"/>
          <w:kern w:val="0"/>
          <w:sz w:val="32"/>
          <w:szCs w:val="24"/>
          <w:lang w:val="en-US"/>
        </w:rPr>
        <w:t>2021年度一般公共预算财政拨款基本支出2,749.42万元，其中：</w:t>
      </w:r>
    </w:p>
    <w:p>
      <w:pPr>
        <w:shd w:val="clear" w:color="auto" w:fill="FFFFFF"/>
        <w:spacing w:beforeLines="0" w:afterLines="0" w:line="360" w:lineRule="auto"/>
        <w:ind w:firstLine="640"/>
        <w:rPr>
          <w:rFonts w:hint="default" w:eastAsia="Times New Roman"/>
          <w:kern w:val="0"/>
          <w:sz w:val="32"/>
          <w:szCs w:val="24"/>
          <w:lang w:val="en-US"/>
        </w:rPr>
      </w:pPr>
      <w:r>
        <w:rPr>
          <w:rFonts w:hint="eastAsia" w:ascii="仿宋_GB2312" w:hAnsi="仿宋_GB2312" w:eastAsia="仿宋_GB2312"/>
          <w:kern w:val="0"/>
          <w:sz w:val="32"/>
          <w:szCs w:val="24"/>
          <w:lang w:val="en-US"/>
        </w:rPr>
        <w:t>人员经费2,659.82万元，包括：基本工资、津贴补贴、奖金、伙食补助费、绩效工资、机关事业单位基本养老保险缴费、职工基本医疗保险缴费、公务员医疗补助缴费、其他社会保障缴费、住房公积金、其他工资福利支出。</w:t>
      </w:r>
    </w:p>
    <w:p>
      <w:pPr>
        <w:shd w:val="clear" w:color="auto" w:fill="FFFFFF"/>
        <w:spacing w:beforeLines="0" w:afterLines="0" w:line="360" w:lineRule="auto"/>
        <w:ind w:firstLine="640"/>
        <w:rPr>
          <w:rFonts w:hint="default" w:eastAsia="Times New Roman"/>
          <w:kern w:val="0"/>
          <w:sz w:val="32"/>
          <w:szCs w:val="24"/>
          <w:lang w:val="en-US"/>
        </w:rPr>
      </w:pPr>
      <w:r>
        <w:rPr>
          <w:rFonts w:hint="eastAsia" w:ascii="仿宋_GB2312" w:hAnsi="仿宋_GB2312" w:eastAsia="仿宋_GB2312"/>
          <w:kern w:val="0"/>
          <w:sz w:val="32"/>
          <w:szCs w:val="24"/>
          <w:lang w:val="en-US"/>
        </w:rPr>
        <w:t>公用经费89.60万元，包括：办公费、手续费、水费、电费、邮电费、取暖费、物业管理费、差旅费、维修（护）费、租赁费、培训费、专用材料费、委托业务费、工会经费、公务用车运行维护费、其他交通费用、其他商品和服务支出、办公设备购置。</w:t>
      </w:r>
    </w:p>
    <w:p>
      <w:pPr>
        <w:spacing w:beforeLines="0" w:afterLines="0" w:line="360" w:lineRule="auto"/>
        <w:ind w:firstLine="640"/>
        <w:rPr>
          <w:rFonts w:hint="default" w:eastAsia="Times New Roman"/>
          <w:sz w:val="32"/>
          <w:szCs w:val="24"/>
          <w:lang w:val="en-US"/>
        </w:rPr>
      </w:pPr>
      <w:r>
        <w:rPr>
          <w:rFonts w:hint="eastAsia" w:ascii="黑体" w:hAnsi="黑体" w:eastAsia="黑体"/>
          <w:sz w:val="32"/>
          <w:szCs w:val="24"/>
          <w:lang w:val="zh-CN"/>
        </w:rPr>
        <w:t>七、一般公共预算财政拨款</w:t>
      </w:r>
      <w:r>
        <w:rPr>
          <w:rFonts w:hint="eastAsia" w:ascii="黑体" w:hAnsi="黑体" w:eastAsia="黑体"/>
          <w:kern w:val="0"/>
          <w:sz w:val="32"/>
          <w:szCs w:val="24"/>
          <w:lang w:val="en-US"/>
        </w:rPr>
        <w:t>“三公”</w:t>
      </w:r>
      <w:r>
        <w:rPr>
          <w:rFonts w:hint="eastAsia" w:ascii="黑体" w:hAnsi="黑体" w:eastAsia="黑体"/>
          <w:sz w:val="32"/>
          <w:szCs w:val="24"/>
          <w:lang w:val="zh-CN"/>
        </w:rPr>
        <w:t>经费支出决算情况说明</w:t>
      </w:r>
    </w:p>
    <w:p>
      <w:pPr>
        <w:shd w:val="clear" w:color="auto" w:fill="FFFFFF"/>
        <w:spacing w:beforeLines="0" w:afterLines="0" w:line="360" w:lineRule="auto"/>
        <w:ind w:firstLine="640"/>
        <w:rPr>
          <w:rFonts w:hint="default" w:eastAsia="Times New Roman"/>
          <w:kern w:val="0"/>
          <w:sz w:val="32"/>
          <w:szCs w:val="24"/>
          <w:lang w:val="en-US"/>
        </w:rPr>
      </w:pPr>
      <w:r>
        <w:rPr>
          <w:rFonts w:hint="eastAsia" w:ascii="仿宋_GB2312" w:hAnsi="仿宋_GB2312" w:eastAsia="仿宋_GB2312"/>
          <w:kern w:val="0"/>
          <w:sz w:val="32"/>
          <w:szCs w:val="24"/>
          <w:lang w:val="en-US"/>
        </w:rPr>
        <w:t>2021年度一般公共预算“三公”经费支出决算2.15万元，比上年增加0.28万元，增长14.97%，主要原因是：</w:t>
      </w:r>
      <w:r>
        <w:rPr>
          <w:rFonts w:hint="eastAsia" w:ascii="仿宋_GB2312" w:hAnsi="仿宋_GB2312" w:eastAsia="仿宋_GB2312"/>
          <w:kern w:val="0"/>
          <w:sz w:val="32"/>
          <w:szCs w:val="24"/>
          <w:lang w:val="en-US" w:eastAsia="zh-CN"/>
        </w:rPr>
        <w:t>因使用年限长，车辆运行维护次数增加</w:t>
      </w:r>
      <w:r>
        <w:rPr>
          <w:rFonts w:hint="eastAsia" w:ascii="仿宋_GB2312" w:hAnsi="仿宋_GB2312" w:eastAsia="仿宋_GB2312"/>
          <w:kern w:val="0"/>
          <w:sz w:val="32"/>
          <w:szCs w:val="24"/>
          <w:lang w:val="en-US"/>
        </w:rPr>
        <w:t>。其中：因公出国（境）费支出0.00万元，占0.00%，比上年增加0.00万元，增长0.00%，主要原因是：本年单位无因公出国（境）费支出；公务用车购置及运行维护费支出2.15万元，占100.00%，比上年增加0.28万元，增长14.97%，主要原因是：</w:t>
      </w:r>
      <w:r>
        <w:rPr>
          <w:rFonts w:hint="eastAsia" w:ascii="仿宋_GB2312" w:hAnsi="仿宋_GB2312" w:eastAsia="仿宋_GB2312"/>
          <w:kern w:val="0"/>
          <w:sz w:val="32"/>
          <w:szCs w:val="24"/>
          <w:lang w:val="en-US" w:eastAsia="zh-CN"/>
        </w:rPr>
        <w:t>因使用年限长，车辆运行维护次数增加</w:t>
      </w:r>
      <w:r>
        <w:rPr>
          <w:rFonts w:hint="eastAsia" w:ascii="仿宋_GB2312" w:hAnsi="仿宋_GB2312" w:eastAsia="仿宋_GB2312"/>
          <w:kern w:val="0"/>
          <w:sz w:val="32"/>
          <w:szCs w:val="24"/>
          <w:lang w:val="en-US"/>
        </w:rPr>
        <w:t>；公务接待费支出0.00万元，占0.00%，比上年增加0.00万元，增长0.00%，主要原因是：本年单位无公务接待费支出。具体情况如下：</w:t>
      </w:r>
    </w:p>
    <w:p>
      <w:pPr>
        <w:shd w:val="clear" w:color="auto" w:fill="FFFFFF"/>
        <w:spacing w:beforeLines="0" w:afterLines="0" w:line="360" w:lineRule="auto"/>
        <w:ind w:firstLine="640"/>
        <w:rPr>
          <w:rFonts w:hint="default" w:eastAsia="Times New Roman"/>
          <w:kern w:val="0"/>
          <w:sz w:val="32"/>
          <w:szCs w:val="24"/>
          <w:lang w:val="en-US"/>
        </w:rPr>
      </w:pPr>
      <w:r>
        <w:rPr>
          <w:rFonts w:hint="eastAsia" w:ascii="仿宋_GB2312" w:hAnsi="仿宋_GB2312" w:eastAsia="仿宋_GB2312"/>
          <w:kern w:val="0"/>
          <w:sz w:val="32"/>
          <w:szCs w:val="24"/>
          <w:lang w:val="en-US"/>
        </w:rPr>
        <w:t>因公出国（境）费支出0.00万元，开支内容包括本年单位无因公出国（境）费支出。单位全年安排的因公出国（境）团组0个，因公出国（境）0人次。</w:t>
      </w:r>
    </w:p>
    <w:p>
      <w:pPr>
        <w:shd w:val="clear" w:color="auto" w:fill="FFFFFF"/>
        <w:spacing w:beforeLines="0" w:afterLines="0" w:line="360" w:lineRule="auto"/>
        <w:ind w:firstLine="640"/>
        <w:rPr>
          <w:rFonts w:hint="default" w:eastAsia="Times New Roman"/>
          <w:kern w:val="0"/>
          <w:sz w:val="32"/>
          <w:szCs w:val="24"/>
          <w:lang w:val="en-US"/>
        </w:rPr>
      </w:pPr>
      <w:r>
        <w:rPr>
          <w:rFonts w:hint="eastAsia" w:ascii="仿宋_GB2312" w:hAnsi="仿宋_GB2312" w:eastAsia="仿宋_GB2312"/>
          <w:kern w:val="0"/>
          <w:sz w:val="32"/>
          <w:szCs w:val="24"/>
          <w:lang w:val="en-US"/>
        </w:rPr>
        <w:t>公务用车购置及运行维护费2.15万元，其中：公务用车购置费0.00万元，公务用车运行维护费2.15万元。公务用车运行维护费开支内容包括公务用车燃油费、保险费、过路费</w:t>
      </w:r>
      <w:r>
        <w:rPr>
          <w:rFonts w:hint="eastAsia" w:ascii="仿宋_GB2312" w:hAnsi="仿宋_GB2312" w:eastAsia="仿宋_GB2312"/>
          <w:kern w:val="0"/>
          <w:sz w:val="32"/>
          <w:szCs w:val="24"/>
          <w:lang w:val="en-US" w:eastAsia="zh-CN"/>
        </w:rPr>
        <w:t>、维修费</w:t>
      </w:r>
      <w:r>
        <w:rPr>
          <w:rFonts w:hint="eastAsia" w:ascii="仿宋_GB2312" w:hAnsi="仿宋_GB2312" w:eastAsia="仿宋_GB2312"/>
          <w:kern w:val="0"/>
          <w:sz w:val="32"/>
          <w:szCs w:val="24"/>
          <w:lang w:val="en-US"/>
        </w:rPr>
        <w:t>等。公务用车购置数0辆，公务用车保有量1辆。</w:t>
      </w:r>
    </w:p>
    <w:p>
      <w:pPr>
        <w:shd w:val="clear" w:color="auto" w:fill="FFFFFF"/>
        <w:spacing w:beforeLines="0" w:afterLines="0" w:line="360" w:lineRule="auto"/>
        <w:ind w:firstLine="640"/>
        <w:rPr>
          <w:rFonts w:hint="default" w:eastAsia="Times New Roman"/>
          <w:kern w:val="0"/>
          <w:sz w:val="32"/>
          <w:szCs w:val="24"/>
          <w:lang w:val="en-US"/>
        </w:rPr>
      </w:pPr>
      <w:r>
        <w:rPr>
          <w:rFonts w:hint="eastAsia" w:ascii="仿宋_GB2312" w:hAnsi="仿宋_GB2312" w:eastAsia="仿宋_GB2312"/>
          <w:kern w:val="0"/>
          <w:sz w:val="32"/>
          <w:szCs w:val="24"/>
          <w:lang w:val="en-US"/>
        </w:rPr>
        <w:t>公务接待费0.00万元，开支内容包括</w:t>
      </w:r>
      <w:r>
        <w:rPr>
          <w:rFonts w:hint="eastAsia" w:ascii="仿宋_GB2312" w:hAnsi="仿宋_GB2312" w:eastAsia="仿宋_GB2312"/>
          <w:kern w:val="0"/>
          <w:sz w:val="32"/>
          <w:szCs w:val="24"/>
          <w:lang w:val="en-US" w:eastAsia="zh-CN"/>
        </w:rPr>
        <w:t>：</w:t>
      </w:r>
      <w:r>
        <w:rPr>
          <w:rFonts w:hint="eastAsia" w:ascii="仿宋_GB2312" w:eastAsia="仿宋_GB2312"/>
          <w:sz w:val="32"/>
          <w:szCs w:val="24"/>
        </w:rPr>
        <w:t>本年无此项支出</w:t>
      </w:r>
      <w:r>
        <w:rPr>
          <w:rFonts w:hint="eastAsia" w:ascii="仿宋_GB2312" w:hAnsi="仿宋_GB2312" w:eastAsia="仿宋_GB2312"/>
          <w:kern w:val="0"/>
          <w:sz w:val="32"/>
          <w:szCs w:val="24"/>
          <w:lang w:val="en-US"/>
        </w:rPr>
        <w:t>。单位全年安排的国内公务接待0批次，0人次。</w:t>
      </w:r>
    </w:p>
    <w:p>
      <w:pPr>
        <w:shd w:val="clear" w:color="auto" w:fill="FFFFFF"/>
        <w:spacing w:beforeLines="0" w:afterLines="0" w:line="360" w:lineRule="auto"/>
        <w:ind w:firstLine="640"/>
        <w:rPr>
          <w:rFonts w:hint="default" w:eastAsia="Times New Roman"/>
          <w:kern w:val="0"/>
          <w:sz w:val="32"/>
          <w:szCs w:val="24"/>
          <w:lang w:val="en-US"/>
        </w:rPr>
      </w:pPr>
      <w:r>
        <w:rPr>
          <w:rFonts w:hint="eastAsia" w:ascii="仿宋_GB2312" w:hAnsi="仿宋_GB2312" w:eastAsia="仿宋_GB2312"/>
          <w:kern w:val="0"/>
          <w:sz w:val="32"/>
          <w:szCs w:val="24"/>
          <w:lang w:val="en-US"/>
        </w:rPr>
        <w:t>与年初预算</w:t>
      </w:r>
      <w:r>
        <w:rPr>
          <w:rFonts w:hint="eastAsia" w:ascii="仿宋_GB2312" w:hAnsi="仿宋_GB2312" w:eastAsia="仿宋_GB2312"/>
          <w:kern w:val="0"/>
          <w:sz w:val="32"/>
          <w:szCs w:val="24"/>
          <w:lang w:val="zh-CN"/>
        </w:rPr>
        <w:t>数</w:t>
      </w:r>
      <w:r>
        <w:rPr>
          <w:rFonts w:hint="eastAsia" w:ascii="仿宋_GB2312" w:hAnsi="仿宋_GB2312" w:eastAsia="仿宋_GB2312"/>
          <w:kern w:val="0"/>
          <w:sz w:val="32"/>
          <w:szCs w:val="24"/>
          <w:lang w:val="en-US"/>
        </w:rPr>
        <w:t>相比情况:一般公共预算</w:t>
      </w:r>
      <w:r>
        <w:rPr>
          <w:rFonts w:hint="default" w:eastAsia="Times New Roman"/>
          <w:kern w:val="0"/>
          <w:sz w:val="32"/>
          <w:szCs w:val="24"/>
          <w:lang w:val="en-US"/>
        </w:rPr>
        <w:t>“</w:t>
      </w:r>
      <w:r>
        <w:rPr>
          <w:rFonts w:hint="eastAsia" w:ascii="仿宋_GB2312" w:hAnsi="仿宋_GB2312" w:eastAsia="仿宋_GB2312"/>
          <w:kern w:val="0"/>
          <w:sz w:val="32"/>
          <w:szCs w:val="24"/>
          <w:lang w:val="en-US"/>
        </w:rPr>
        <w:t>三公</w:t>
      </w:r>
      <w:r>
        <w:rPr>
          <w:rFonts w:hint="default" w:eastAsia="Times New Roman"/>
          <w:kern w:val="0"/>
          <w:sz w:val="32"/>
          <w:szCs w:val="24"/>
          <w:lang w:val="en-US"/>
        </w:rPr>
        <w:t>”</w:t>
      </w:r>
      <w:r>
        <w:rPr>
          <w:rFonts w:hint="eastAsia" w:ascii="仿宋_GB2312" w:hAnsi="仿宋_GB2312" w:eastAsia="仿宋_GB2312"/>
          <w:kern w:val="0"/>
          <w:sz w:val="32"/>
          <w:szCs w:val="24"/>
          <w:lang w:val="en-US"/>
        </w:rPr>
        <w:t>经费支出年初预算数2.15万元，决算数2.15万元，预决算差异率0.00%，主要原因是：</w:t>
      </w:r>
      <w:r>
        <w:rPr>
          <w:rFonts w:hint="eastAsia" w:ascii="仿宋_GB2312" w:hAnsi="仿宋_GB2312" w:eastAsia="仿宋_GB2312"/>
          <w:kern w:val="0"/>
          <w:sz w:val="32"/>
          <w:szCs w:val="24"/>
          <w:lang w:val="en-US" w:eastAsia="zh-CN"/>
        </w:rPr>
        <w:t>严格按照预算控制支出，故决算数和预算数无差异</w:t>
      </w:r>
      <w:r>
        <w:rPr>
          <w:rFonts w:hint="eastAsia" w:ascii="仿宋_GB2312" w:hAnsi="仿宋_GB2312" w:eastAsia="仿宋_GB2312"/>
          <w:kern w:val="0"/>
          <w:sz w:val="32"/>
          <w:szCs w:val="24"/>
          <w:lang w:val="en-US"/>
        </w:rPr>
        <w:t>。其中：因公出国（境）费预算数0.00万元，决算数0.00万元，预决算差异率0.00%，主要原因是：本年单位无因公出国（境）费支出；公务用车购置费预算数0.00万元，决算数0.00万元，预决算差异率0.00%，主要原因是：本年单位无公务用车购置费支出；公务用车运行费预算数2.15万元，决算数2.15万元，预决算差异率0.00%，主要原因是：</w:t>
      </w:r>
      <w:r>
        <w:rPr>
          <w:rFonts w:hint="eastAsia" w:ascii="仿宋_GB2312" w:hAnsi="仿宋_GB2312" w:eastAsia="仿宋_GB2312"/>
          <w:kern w:val="0"/>
          <w:sz w:val="32"/>
          <w:szCs w:val="24"/>
          <w:lang w:val="en-US" w:eastAsia="zh-CN"/>
        </w:rPr>
        <w:t>严格按照预算控制支出，故决算数和预算数无差异</w:t>
      </w:r>
      <w:r>
        <w:rPr>
          <w:rFonts w:hint="eastAsia" w:ascii="仿宋_GB2312" w:hAnsi="仿宋_GB2312" w:eastAsia="仿宋_GB2312"/>
          <w:kern w:val="0"/>
          <w:sz w:val="32"/>
          <w:szCs w:val="24"/>
          <w:lang w:val="en-US"/>
        </w:rPr>
        <w:t>；公务接待费预算数0.00万元，决算数0.00万元，预决算差异率0.00%，主要原因是：本年单位无公务接待费支出。</w:t>
      </w:r>
    </w:p>
    <w:p>
      <w:pPr>
        <w:spacing w:beforeLines="0" w:afterLines="0" w:line="360" w:lineRule="auto"/>
        <w:ind w:firstLine="640"/>
        <w:rPr>
          <w:rFonts w:hint="default" w:eastAsia="Times New Roman"/>
          <w:sz w:val="32"/>
          <w:szCs w:val="24"/>
          <w:lang w:val="zh-CN"/>
        </w:rPr>
      </w:pPr>
      <w:r>
        <w:rPr>
          <w:rFonts w:hint="eastAsia" w:ascii="黑体" w:hAnsi="黑体" w:eastAsia="黑体"/>
          <w:sz w:val="32"/>
          <w:szCs w:val="24"/>
          <w:lang w:val="zh-CN"/>
        </w:rPr>
        <w:t>八、政府性基金预算财政拨款收入支出决算情况说明</w:t>
      </w:r>
    </w:p>
    <w:p>
      <w:pPr>
        <w:shd w:val="clear" w:color="auto" w:fill="FFFFFF"/>
        <w:spacing w:beforeLines="0" w:afterLines="0" w:line="360" w:lineRule="auto"/>
        <w:ind w:firstLine="640"/>
        <w:rPr>
          <w:rFonts w:hint="eastAsia" w:ascii="仿宋_GB2312" w:hAnsi="仿宋_GB2312" w:eastAsia="仿宋_GB2312"/>
          <w:kern w:val="0"/>
          <w:sz w:val="32"/>
          <w:szCs w:val="24"/>
          <w:lang w:val="en-US"/>
        </w:rPr>
      </w:pPr>
      <w:r>
        <w:rPr>
          <w:rFonts w:hint="eastAsia" w:ascii="仿宋_GB2312" w:hAnsi="仿宋_GB2312" w:eastAsia="仿宋_GB2312"/>
          <w:kern w:val="0"/>
          <w:sz w:val="32"/>
          <w:szCs w:val="24"/>
          <w:lang w:val="en-US"/>
        </w:rPr>
        <w:t>我单位本年度无政府性基金预算财政拨款收入支出，政府性基金预算财政拨款收入支出决算表为空表。</w:t>
      </w:r>
    </w:p>
    <w:p>
      <w:pPr>
        <w:shd w:val="clear" w:color="auto" w:fill="FFFFFF"/>
        <w:spacing w:beforeLines="0" w:afterLines="0" w:line="360" w:lineRule="auto"/>
        <w:ind w:firstLine="640"/>
        <w:rPr>
          <w:rFonts w:hint="eastAsia" w:ascii="仿宋_GB2312" w:hAnsi="仿宋_GB2312" w:eastAsia="仿宋_GB2312"/>
          <w:color w:val="auto"/>
          <w:kern w:val="0"/>
          <w:sz w:val="32"/>
          <w:szCs w:val="24"/>
          <w:lang w:val="en-US"/>
        </w:rPr>
      </w:pPr>
    </w:p>
    <w:p>
      <w:pPr>
        <w:spacing w:beforeLines="0" w:afterLines="0" w:line="360" w:lineRule="auto"/>
        <w:ind w:firstLine="640"/>
        <w:rPr>
          <w:rFonts w:hint="default" w:eastAsia="Times New Roman"/>
          <w:color w:val="auto"/>
          <w:sz w:val="32"/>
          <w:szCs w:val="24"/>
          <w:lang w:val="zh-CN"/>
        </w:rPr>
      </w:pPr>
      <w:r>
        <w:rPr>
          <w:rFonts w:hint="eastAsia" w:ascii="黑体" w:hAnsi="黑体" w:eastAsia="黑体"/>
          <w:color w:val="auto"/>
          <w:sz w:val="32"/>
          <w:szCs w:val="24"/>
          <w:lang w:val="zh-CN"/>
        </w:rPr>
        <w:t>九、国有资本经营预算财政拨款收入支出决算情况说明</w:t>
      </w:r>
    </w:p>
    <w:p>
      <w:pPr>
        <w:shd w:val="clear" w:color="auto" w:fill="FFFFFF"/>
        <w:spacing w:beforeLines="0" w:afterLines="0" w:line="360" w:lineRule="auto"/>
        <w:ind w:firstLine="640"/>
        <w:rPr>
          <w:rFonts w:hint="default" w:eastAsia="Times New Roman"/>
          <w:color w:val="auto"/>
          <w:kern w:val="0"/>
          <w:sz w:val="32"/>
          <w:szCs w:val="24"/>
          <w:lang w:val="en-US"/>
        </w:rPr>
      </w:pPr>
      <w:r>
        <w:rPr>
          <w:rFonts w:hint="eastAsia" w:ascii="仿宋_GB2312" w:hAnsi="仿宋_GB2312" w:eastAsia="仿宋_GB2312"/>
          <w:color w:val="auto"/>
          <w:kern w:val="0"/>
          <w:sz w:val="32"/>
          <w:szCs w:val="24"/>
          <w:lang w:val="en-US"/>
        </w:rPr>
        <w:t>我单位本年度无国有资本经营预算财政拨款收入支出，国有资本经营预算财政拨款收入支出决算表为空表。</w:t>
      </w:r>
    </w:p>
    <w:p>
      <w:pPr>
        <w:spacing w:beforeLines="0" w:afterLines="0" w:line="360" w:lineRule="auto"/>
        <w:ind w:firstLine="640"/>
        <w:rPr>
          <w:rFonts w:hint="default" w:eastAsia="Times New Roman"/>
          <w:color w:val="auto"/>
          <w:sz w:val="32"/>
          <w:szCs w:val="24"/>
          <w:lang w:val="zh-CN"/>
        </w:rPr>
      </w:pPr>
      <w:r>
        <w:rPr>
          <w:rFonts w:hint="eastAsia" w:ascii="黑体" w:hAnsi="黑体" w:eastAsia="黑体"/>
          <w:color w:val="auto"/>
          <w:sz w:val="32"/>
          <w:szCs w:val="24"/>
          <w:lang w:val="zh-CN"/>
        </w:rPr>
        <w:t>十、其他重要事项的情况说明</w:t>
      </w:r>
    </w:p>
    <w:p>
      <w:pPr>
        <w:spacing w:beforeLines="0" w:afterLines="0" w:line="360" w:lineRule="auto"/>
        <w:ind w:firstLine="640"/>
        <w:rPr>
          <w:rFonts w:hint="default" w:eastAsia="Times New Roman"/>
          <w:color w:val="auto"/>
          <w:sz w:val="32"/>
          <w:szCs w:val="24"/>
          <w:lang w:val="zh-CN"/>
        </w:rPr>
      </w:pPr>
      <w:r>
        <w:rPr>
          <w:rFonts w:hint="eastAsia" w:ascii="黑体" w:hAnsi="黑体" w:eastAsia="黑体"/>
          <w:color w:val="auto"/>
          <w:sz w:val="32"/>
          <w:szCs w:val="24"/>
          <w:lang w:val="zh-CN"/>
        </w:rPr>
        <w:t>（一）机关运行经费支出情况</w:t>
      </w:r>
    </w:p>
    <w:p>
      <w:pPr>
        <w:shd w:val="clear" w:color="auto" w:fill="FFFFFF"/>
        <w:spacing w:beforeLines="0" w:afterLines="0" w:line="360" w:lineRule="auto"/>
        <w:ind w:firstLine="640"/>
        <w:rPr>
          <w:rFonts w:hint="default" w:eastAsia="Times New Roman"/>
          <w:color w:val="auto"/>
          <w:kern w:val="0"/>
          <w:sz w:val="32"/>
          <w:szCs w:val="24"/>
          <w:lang w:val="en-US"/>
        </w:rPr>
      </w:pPr>
      <w:r>
        <w:rPr>
          <w:rFonts w:hint="eastAsia" w:ascii="仿宋_GB2312" w:hAnsi="仿宋_GB2312" w:eastAsia="仿宋_GB2312"/>
          <w:color w:val="auto"/>
          <w:kern w:val="0"/>
          <w:sz w:val="32"/>
          <w:szCs w:val="24"/>
          <w:lang w:val="en-US"/>
        </w:rPr>
        <w:t>2021年度</w:t>
      </w:r>
      <w:r>
        <w:rPr>
          <w:rFonts w:hint="eastAsia" w:ascii="仿宋_GB2312" w:hAnsi="仿宋_GB2312" w:eastAsia="仿宋_GB2312"/>
          <w:kern w:val="0"/>
          <w:sz w:val="32"/>
          <w:szCs w:val="24"/>
          <w:lang w:val="en-US"/>
        </w:rPr>
        <w:t>乌鲁木齐高新技术产业开发区（</w:t>
      </w:r>
      <w:r>
        <w:rPr>
          <w:rFonts w:hint="eastAsia" w:ascii="仿宋_GB2312" w:hAnsi="仿宋_GB2312" w:eastAsia="仿宋_GB2312"/>
          <w:kern w:val="0"/>
          <w:sz w:val="32"/>
          <w:szCs w:val="24"/>
          <w:lang w:val="en-US" w:eastAsia="zh-CN"/>
        </w:rPr>
        <w:t>乌鲁木齐市</w:t>
      </w:r>
      <w:r>
        <w:rPr>
          <w:rFonts w:hint="eastAsia" w:ascii="仿宋_GB2312" w:hAnsi="仿宋_GB2312" w:eastAsia="仿宋_GB2312"/>
          <w:kern w:val="0"/>
          <w:sz w:val="32"/>
          <w:szCs w:val="24"/>
          <w:lang w:val="en-US"/>
        </w:rPr>
        <w:t>新市区）长春中路片区管</w:t>
      </w:r>
      <w:r>
        <w:rPr>
          <w:rFonts w:hint="eastAsia" w:ascii="仿宋_GB2312" w:hAnsi="仿宋_GB2312" w:eastAsia="仿宋_GB2312"/>
          <w:kern w:val="0"/>
          <w:sz w:val="32"/>
          <w:szCs w:val="24"/>
          <w:lang w:val="en-US" w:eastAsia="zh-CN"/>
        </w:rPr>
        <w:t>理</w:t>
      </w:r>
      <w:r>
        <w:rPr>
          <w:rFonts w:hint="eastAsia" w:ascii="仿宋_GB2312" w:hAnsi="仿宋_GB2312" w:eastAsia="仿宋_GB2312"/>
          <w:kern w:val="0"/>
          <w:sz w:val="32"/>
          <w:szCs w:val="24"/>
          <w:lang w:val="en-US"/>
        </w:rPr>
        <w:t>委</w:t>
      </w:r>
      <w:r>
        <w:rPr>
          <w:rFonts w:hint="eastAsia" w:ascii="仿宋_GB2312" w:hAnsi="仿宋_GB2312" w:eastAsia="仿宋_GB2312"/>
          <w:kern w:val="0"/>
          <w:sz w:val="32"/>
          <w:szCs w:val="24"/>
          <w:lang w:val="en-US" w:eastAsia="zh-CN"/>
        </w:rPr>
        <w:t>员</w:t>
      </w:r>
      <w:r>
        <w:rPr>
          <w:rFonts w:hint="eastAsia" w:ascii="仿宋_GB2312" w:hAnsi="仿宋_GB2312" w:eastAsia="仿宋_GB2312"/>
          <w:kern w:val="0"/>
          <w:sz w:val="32"/>
          <w:szCs w:val="24"/>
          <w:lang w:val="en-US"/>
        </w:rPr>
        <w:t>会</w:t>
      </w:r>
      <w:r>
        <w:rPr>
          <w:rFonts w:hint="eastAsia" w:ascii="仿宋_GB2312" w:hAnsi="仿宋_GB2312" w:eastAsia="仿宋_GB2312"/>
          <w:color w:val="auto"/>
          <w:kern w:val="0"/>
          <w:sz w:val="32"/>
          <w:szCs w:val="24"/>
          <w:lang w:val="en-US"/>
        </w:rPr>
        <w:t>单位机关运行经费支出89.60万元，比上年增加9.92万元，增长12.45%，主要原因是：</w:t>
      </w:r>
      <w:r>
        <w:rPr>
          <w:rFonts w:hint="eastAsia" w:ascii="仿宋_GB2312" w:hAnsi="仿宋_GB2312" w:eastAsia="仿宋_GB2312"/>
          <w:color w:val="auto"/>
          <w:kern w:val="0"/>
          <w:sz w:val="32"/>
          <w:szCs w:val="24"/>
          <w:lang w:val="en-US" w:eastAsia="zh-CN"/>
        </w:rPr>
        <w:t>因工作需要，人员增加，办公经费支出增加</w:t>
      </w:r>
      <w:r>
        <w:rPr>
          <w:rFonts w:hint="eastAsia" w:ascii="仿宋_GB2312" w:hAnsi="仿宋_GB2312" w:eastAsia="仿宋_GB2312"/>
          <w:color w:val="auto"/>
          <w:kern w:val="0"/>
          <w:sz w:val="32"/>
          <w:szCs w:val="24"/>
          <w:lang w:val="en-US"/>
        </w:rPr>
        <w:t>。</w:t>
      </w:r>
    </w:p>
    <w:p>
      <w:pPr>
        <w:spacing w:beforeLines="0" w:afterLines="0" w:line="360" w:lineRule="auto"/>
        <w:ind w:firstLine="640"/>
        <w:rPr>
          <w:rFonts w:hint="default" w:eastAsia="Times New Roman"/>
          <w:color w:val="auto"/>
          <w:sz w:val="32"/>
          <w:szCs w:val="24"/>
          <w:lang w:val="en-US"/>
        </w:rPr>
      </w:pPr>
      <w:r>
        <w:rPr>
          <w:rFonts w:hint="eastAsia" w:ascii="黑体" w:hAnsi="黑体" w:eastAsia="黑体"/>
          <w:color w:val="auto"/>
          <w:sz w:val="32"/>
          <w:szCs w:val="24"/>
          <w:lang w:val="en-US"/>
        </w:rPr>
        <w:t>（</w:t>
      </w:r>
      <w:r>
        <w:rPr>
          <w:rFonts w:hint="eastAsia" w:ascii="黑体" w:hAnsi="黑体" w:eastAsia="黑体"/>
          <w:color w:val="auto"/>
          <w:sz w:val="32"/>
          <w:szCs w:val="24"/>
          <w:lang w:val="zh-CN"/>
        </w:rPr>
        <w:t>二</w:t>
      </w:r>
      <w:r>
        <w:rPr>
          <w:rFonts w:hint="eastAsia" w:ascii="黑体" w:hAnsi="黑体" w:eastAsia="黑体"/>
          <w:color w:val="auto"/>
          <w:sz w:val="32"/>
          <w:szCs w:val="24"/>
          <w:lang w:val="en-US"/>
        </w:rPr>
        <w:t>）</w:t>
      </w:r>
      <w:r>
        <w:rPr>
          <w:rFonts w:hint="eastAsia" w:ascii="黑体" w:hAnsi="黑体" w:eastAsia="黑体"/>
          <w:color w:val="auto"/>
          <w:sz w:val="32"/>
          <w:szCs w:val="24"/>
          <w:lang w:val="zh-CN"/>
        </w:rPr>
        <w:t>政府采购情况</w:t>
      </w:r>
    </w:p>
    <w:p>
      <w:pPr>
        <w:shd w:val="clear" w:color="auto" w:fill="FFFFFF"/>
        <w:spacing w:beforeLines="0" w:afterLines="0" w:line="360" w:lineRule="auto"/>
        <w:ind w:firstLine="640"/>
        <w:rPr>
          <w:rFonts w:hint="default" w:eastAsia="Times New Roman"/>
          <w:color w:val="auto"/>
          <w:kern w:val="0"/>
          <w:sz w:val="32"/>
          <w:szCs w:val="24"/>
          <w:lang w:val="en-US"/>
        </w:rPr>
      </w:pPr>
      <w:r>
        <w:rPr>
          <w:rFonts w:hint="eastAsia" w:ascii="仿宋_GB2312" w:hAnsi="仿宋_GB2312" w:eastAsia="仿宋_GB2312"/>
          <w:color w:val="auto"/>
          <w:kern w:val="0"/>
          <w:sz w:val="32"/>
          <w:szCs w:val="24"/>
          <w:lang w:val="en-US"/>
        </w:rPr>
        <w:t>2021年度政府采购支出总额5.71万元，其中：政府采购货物支出5.71万元、政府采购工程支出0.00万元、政府采购服务支出0.00万元。</w:t>
      </w:r>
    </w:p>
    <w:p>
      <w:pPr>
        <w:shd w:val="clear" w:color="auto" w:fill="FFFFFF"/>
        <w:spacing w:beforeLines="0" w:afterLines="0" w:line="360" w:lineRule="auto"/>
        <w:ind w:firstLine="640"/>
        <w:rPr>
          <w:rFonts w:hint="default" w:eastAsia="Times New Roman"/>
          <w:color w:val="auto"/>
          <w:kern w:val="0"/>
          <w:sz w:val="32"/>
          <w:szCs w:val="24"/>
          <w:lang w:val="en-US"/>
        </w:rPr>
      </w:pPr>
      <w:r>
        <w:rPr>
          <w:rFonts w:hint="eastAsia" w:ascii="仿宋_GB2312" w:hAnsi="仿宋_GB2312" w:eastAsia="仿宋_GB2312"/>
          <w:color w:val="auto"/>
          <w:kern w:val="0"/>
          <w:sz w:val="32"/>
          <w:szCs w:val="24"/>
          <w:lang w:val="en-US"/>
        </w:rPr>
        <w:t>授予中小企业合同金额5.71万元，占政府采购支出总额的100.00%，其中：授予小微企业合同金额5.71万元，占政府采购支出总额的100.00%。</w:t>
      </w:r>
    </w:p>
    <w:p>
      <w:pPr>
        <w:spacing w:beforeLines="0" w:afterLines="0" w:line="360" w:lineRule="auto"/>
        <w:ind w:firstLine="640"/>
        <w:rPr>
          <w:rFonts w:hint="default" w:eastAsia="Times New Roman"/>
          <w:color w:val="auto"/>
          <w:sz w:val="32"/>
          <w:szCs w:val="24"/>
          <w:lang w:val="zh-CN"/>
        </w:rPr>
      </w:pPr>
      <w:r>
        <w:rPr>
          <w:rFonts w:hint="eastAsia" w:ascii="黑体" w:hAnsi="黑体" w:eastAsia="黑体"/>
          <w:color w:val="auto"/>
          <w:sz w:val="32"/>
          <w:szCs w:val="24"/>
          <w:lang w:val="zh-CN"/>
        </w:rPr>
        <w:t>（三）国有资产占用情况说明</w:t>
      </w:r>
    </w:p>
    <w:p>
      <w:pPr>
        <w:shd w:val="clear" w:color="auto" w:fill="FFFFFF"/>
        <w:spacing w:beforeLines="0" w:afterLines="0" w:line="360" w:lineRule="auto"/>
        <w:ind w:firstLine="640"/>
        <w:rPr>
          <w:rFonts w:hint="default" w:eastAsia="Times New Roman"/>
          <w:color w:val="auto"/>
          <w:kern w:val="0"/>
          <w:sz w:val="32"/>
          <w:szCs w:val="24"/>
          <w:lang w:val="en-US"/>
        </w:rPr>
      </w:pPr>
      <w:r>
        <w:rPr>
          <w:rFonts w:hint="eastAsia" w:ascii="仿宋_GB2312" w:hAnsi="仿宋_GB2312" w:eastAsia="仿宋_GB2312"/>
          <w:color w:val="auto"/>
          <w:kern w:val="0"/>
          <w:sz w:val="32"/>
          <w:szCs w:val="24"/>
          <w:lang w:val="en-US"/>
        </w:rPr>
        <w:t>截止2021年12月31日，单位共有房屋3,503.78（平方米），价值1,736.15万元。车辆27辆，价值255.83万元，其中：副部（省）级及以上领导用车0辆、主要领导干部用车1辆、机要通信用车0辆、应急保障用车13辆、执法执勤用车3辆、特种专业技术用车0辆、离退休干部用车0辆、其他用车10辆，其他用车主要是：</w:t>
      </w:r>
      <w:r>
        <w:rPr>
          <w:rFonts w:hint="eastAsia" w:ascii="仿宋_GB2312" w:hAnsi="仿宋_GB2312" w:eastAsia="仿宋_GB2312"/>
          <w:color w:val="auto"/>
          <w:kern w:val="0"/>
          <w:sz w:val="32"/>
          <w:szCs w:val="24"/>
          <w:lang w:val="en-US" w:eastAsia="zh-CN"/>
        </w:rPr>
        <w:t>社区服务车辆</w:t>
      </w:r>
      <w:r>
        <w:rPr>
          <w:rFonts w:hint="eastAsia" w:ascii="仿宋_GB2312" w:hAnsi="仿宋_GB2312" w:eastAsia="仿宋_GB2312"/>
          <w:color w:val="auto"/>
          <w:kern w:val="0"/>
          <w:sz w:val="32"/>
          <w:szCs w:val="24"/>
          <w:lang w:val="en-US"/>
        </w:rPr>
        <w:t>；单位价值50万元以上通用设备0台（套）、单位价值100万元以上专用设备0台（套）。</w:t>
      </w:r>
    </w:p>
    <w:p>
      <w:pPr>
        <w:spacing w:beforeLines="0" w:afterLines="0" w:line="360" w:lineRule="auto"/>
        <w:ind w:firstLine="640"/>
        <w:rPr>
          <w:rFonts w:hint="default" w:eastAsia="Times New Roman"/>
          <w:color w:val="auto"/>
          <w:sz w:val="32"/>
          <w:szCs w:val="24"/>
          <w:lang w:val="zh-CN"/>
        </w:rPr>
      </w:pPr>
      <w:r>
        <w:rPr>
          <w:rFonts w:hint="eastAsia" w:ascii="黑体" w:hAnsi="黑体" w:eastAsia="黑体"/>
          <w:color w:val="auto"/>
          <w:sz w:val="32"/>
          <w:szCs w:val="24"/>
          <w:lang w:val="zh-CN"/>
        </w:rPr>
        <w:t>十一、预算绩效的情况说明</w:t>
      </w:r>
    </w:p>
    <w:p>
      <w:pPr>
        <w:shd w:val="clear" w:color="auto" w:fill="FFFFFF"/>
        <w:spacing w:beforeLines="0" w:afterLines="0" w:line="360" w:lineRule="auto"/>
        <w:ind w:firstLine="640"/>
        <w:rPr>
          <w:rFonts w:hint="eastAsia" w:ascii="仿宋_GB2312" w:hAnsi="仿宋_GB2312" w:eastAsia="仿宋_GB2312"/>
          <w:kern w:val="0"/>
          <w:sz w:val="32"/>
          <w:szCs w:val="24"/>
          <w:lang w:val="zh-CN"/>
        </w:rPr>
      </w:pPr>
      <w:r>
        <w:rPr>
          <w:rFonts w:hint="eastAsia" w:ascii="仿宋_GB2312" w:hAnsi="仿宋_GB2312" w:eastAsia="仿宋_GB2312"/>
          <w:color w:val="auto"/>
          <w:kern w:val="0"/>
          <w:sz w:val="32"/>
          <w:szCs w:val="24"/>
          <w:lang w:val="en-US"/>
        </w:rPr>
        <w:t>根据预算绩效管理要求，我单位2021年度开展预算绩效评价项目</w:t>
      </w:r>
      <w:r>
        <w:rPr>
          <w:rFonts w:hint="eastAsia" w:ascii="仿宋_GB2312" w:hAnsi="仿宋_GB2312" w:eastAsia="仿宋_GB2312"/>
          <w:color w:val="auto"/>
          <w:kern w:val="0"/>
          <w:sz w:val="32"/>
          <w:szCs w:val="24"/>
          <w:lang w:val="en-US" w:eastAsia="zh-CN"/>
        </w:rPr>
        <w:t>8</w:t>
      </w:r>
      <w:r>
        <w:rPr>
          <w:rFonts w:hint="eastAsia" w:ascii="仿宋_GB2312" w:hAnsi="仿宋_GB2312" w:eastAsia="仿宋_GB2312"/>
          <w:color w:val="auto"/>
          <w:kern w:val="0"/>
          <w:sz w:val="32"/>
          <w:szCs w:val="24"/>
          <w:lang w:val="en-US"/>
        </w:rPr>
        <w:t>个，共涉及资金</w:t>
      </w:r>
      <w:r>
        <w:rPr>
          <w:rFonts w:hint="eastAsia" w:ascii="仿宋_GB2312" w:hAnsi="仿宋_GB2312" w:eastAsia="仿宋_GB2312"/>
          <w:color w:val="auto"/>
          <w:kern w:val="0"/>
          <w:sz w:val="32"/>
          <w:szCs w:val="24"/>
          <w:lang w:val="en-US" w:eastAsia="zh-CN"/>
        </w:rPr>
        <w:t>1168.15</w:t>
      </w:r>
      <w:r>
        <w:rPr>
          <w:rFonts w:hint="eastAsia" w:ascii="仿宋_GB2312" w:hAnsi="仿宋_GB2312" w:eastAsia="仿宋_GB2312"/>
          <w:color w:val="auto"/>
          <w:kern w:val="0"/>
          <w:sz w:val="32"/>
          <w:szCs w:val="24"/>
          <w:lang w:val="en-US"/>
        </w:rPr>
        <w:t>万元。预算绩效管理取得的成效</w:t>
      </w:r>
      <w:r>
        <w:rPr>
          <w:rFonts w:hint="eastAsia" w:ascii="仿宋_GB2312" w:hAnsi="仿宋_GB2312" w:eastAsia="仿宋_GB2312"/>
          <w:color w:val="auto"/>
          <w:kern w:val="0"/>
          <w:sz w:val="32"/>
          <w:szCs w:val="24"/>
          <w:lang w:val="en-US" w:eastAsia="zh-CN"/>
        </w:rPr>
        <w:t>：</w:t>
      </w:r>
      <w:r>
        <w:rPr>
          <w:rFonts w:hint="eastAsia" w:ascii="仿宋_GB2312" w:hAnsi="仿宋_GB2312" w:eastAsia="仿宋_GB2312"/>
          <w:kern w:val="0"/>
          <w:sz w:val="32"/>
          <w:szCs w:val="24"/>
          <w:lang w:val="en-US"/>
        </w:rPr>
        <w:t>一是加强预算绩效管理有助于提高预算管理水平，提高财政资金使用效益；二是加强预算绩效管理有助于提高财政资金透明度。</w:t>
      </w:r>
      <w:r>
        <w:rPr>
          <w:rFonts w:hint="eastAsia" w:ascii="仿宋_GB2312" w:hAnsi="仿宋_GB2312" w:eastAsia="仿宋_GB2312"/>
          <w:color w:val="auto"/>
          <w:kern w:val="0"/>
          <w:sz w:val="32"/>
          <w:szCs w:val="24"/>
          <w:lang w:val="en-US"/>
        </w:rPr>
        <w:t>发现的问题及原因：</w:t>
      </w:r>
      <w:r>
        <w:rPr>
          <w:rFonts w:hint="eastAsia" w:ascii="仿宋_GB2312" w:hAnsi="仿宋_GB2312" w:eastAsia="仿宋_GB2312"/>
          <w:kern w:val="0"/>
          <w:sz w:val="32"/>
          <w:szCs w:val="24"/>
          <w:lang w:val="en-US"/>
        </w:rPr>
        <w:t>一是对各项指标和指标值需要进一步优化、完善，主要在细化、量化上改进。二是自评价工作还存在自我审定的局限性，会影响评价质量，容易造成问题的疏漏，在客观性和公正性上说服力不强。三是绩效管理制度不全；四是人员专业化程度不高。</w:t>
      </w:r>
      <w:r>
        <w:rPr>
          <w:rFonts w:hint="eastAsia" w:ascii="仿宋_GB2312" w:hAnsi="仿宋_GB2312" w:eastAsia="仿宋_GB2312"/>
          <w:color w:val="auto"/>
          <w:kern w:val="0"/>
          <w:sz w:val="32"/>
          <w:szCs w:val="24"/>
          <w:lang w:val="en-US"/>
        </w:rPr>
        <w:t>下一步改进措施：</w:t>
      </w:r>
      <w:r>
        <w:rPr>
          <w:rFonts w:hint="eastAsia" w:ascii="仿宋_GB2312" w:hAnsi="仿宋_GB2312" w:eastAsia="仿宋_GB2312"/>
          <w:kern w:val="0"/>
          <w:sz w:val="32"/>
          <w:szCs w:val="24"/>
          <w:lang w:val="en-US"/>
        </w:rPr>
        <w:t>一是建立健全绩效管理制度，增强绩效管理队伍；制订绩效评价工作方案及相关资金管理、使用制度、项目实施方案。根据具体的实施方案等，不定期对绩效工作进度和质量等进行监督检查，并且组织开展多种形式的监督检查，以加强日常监管为主，自查、随机抽查、专项检查等方式进行。二是加大财务人员培训力度，提高学习能力，配备绩效管理人才。对检查中发现的问题，及时纠正。研究和决定本部门绩效动态考核中的重大问题，组织协调绩效考核工作，对工作绩效目标的设定、绩效监控考核结果进行审核,逐步建立科学的绩效考核体制。具体项目自评情况附项目支出绩效自评表。</w:t>
      </w:r>
    </w:p>
    <w:p>
      <w:pPr>
        <w:shd w:val="clear" w:color="auto" w:fill="FFFFFF"/>
        <w:spacing w:beforeLines="0" w:afterLines="0" w:line="360" w:lineRule="auto"/>
        <w:ind w:firstLine="640"/>
        <w:rPr>
          <w:rFonts w:hint="eastAsia" w:ascii="仿宋_GB2312" w:hAnsi="仿宋_GB2312" w:eastAsia="仿宋_GB2312"/>
          <w:color w:val="auto"/>
          <w:kern w:val="0"/>
          <w:sz w:val="32"/>
          <w:szCs w:val="24"/>
          <w:lang w:val="en-US"/>
        </w:rPr>
      </w:pPr>
    </w:p>
    <w:p>
      <w:pPr>
        <w:shd w:val="clear" w:color="auto" w:fill="FFFFFF"/>
        <w:spacing w:beforeLines="0" w:afterLines="0" w:line="360" w:lineRule="auto"/>
        <w:ind w:firstLine="640"/>
        <w:rPr>
          <w:rFonts w:hint="eastAsia" w:ascii="仿宋_GB2312" w:hAnsi="仿宋_GB2312" w:eastAsia="仿宋_GB2312"/>
          <w:color w:val="auto"/>
          <w:w w:val="66"/>
          <w:kern w:val="0"/>
          <w:sz w:val="32"/>
          <w:szCs w:val="24"/>
          <w:lang w:val="en-US"/>
        </w:rPr>
      </w:pPr>
    </w:p>
    <w:tbl>
      <w:tblPr>
        <w:tblStyle w:val="2"/>
        <w:tblW w:w="102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4"/>
        <w:gridCol w:w="1004"/>
        <w:gridCol w:w="1015"/>
        <w:gridCol w:w="975"/>
        <w:gridCol w:w="756"/>
        <w:gridCol w:w="936"/>
        <w:gridCol w:w="846"/>
        <w:gridCol w:w="619"/>
        <w:gridCol w:w="731"/>
        <w:gridCol w:w="813"/>
        <w:gridCol w:w="585"/>
        <w:gridCol w:w="654"/>
        <w:gridCol w:w="6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10260" w:type="dxa"/>
            <w:gridSpan w:val="13"/>
            <w:tcBorders>
              <w:top w:val="nil"/>
              <w:left w:val="nil"/>
              <w:bottom w:val="nil"/>
              <w:right w:val="nil"/>
              <w:tl2br w:val="nil"/>
              <w:tr2bl w:val="nil"/>
            </w:tcBorders>
            <w:noWrap w:val="0"/>
            <w:vAlign w:val="center"/>
          </w:tcPr>
          <w:p>
            <w:pPr>
              <w:spacing w:beforeLines="0" w:afterLines="0"/>
              <w:jc w:val="center"/>
              <w:textAlignment w:val="center"/>
              <w:rPr>
                <w:rFonts w:hint="eastAsia" w:ascii="宋体" w:hAnsi="宋体"/>
                <w:b/>
                <w:color w:val="000000"/>
                <w:sz w:val="18"/>
                <w:szCs w:val="24"/>
              </w:rPr>
            </w:pPr>
            <w:r>
              <w:rPr>
                <w:rFonts w:hint="eastAsia" w:ascii="宋体" w:hAnsi="宋体"/>
                <w:b/>
                <w:color w:val="000000"/>
                <w:kern w:val="0"/>
                <w:sz w:val="18"/>
                <w:szCs w:val="24"/>
                <w:lang w:val="en-US" w:eastAsia="zh-CN"/>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10260" w:type="dxa"/>
            <w:gridSpan w:val="13"/>
            <w:tcBorders>
              <w:top w:val="nil"/>
              <w:left w:val="nil"/>
              <w:bottom w:val="nil"/>
              <w:right w:val="nil"/>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16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项目名称</w:t>
            </w:r>
          </w:p>
        </w:tc>
        <w:tc>
          <w:tcPr>
            <w:tcW w:w="8594"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社区工作经费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16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主管部门</w:t>
            </w:r>
          </w:p>
        </w:tc>
        <w:tc>
          <w:tcPr>
            <w:tcW w:w="366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乌鲁木齐高新技术产业开发区（乌鲁木齐市新市区）长春中路片区管理委员会</w:t>
            </w:r>
          </w:p>
        </w:tc>
        <w:tc>
          <w:tcPr>
            <w:tcW w:w="14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实施单位</w:t>
            </w:r>
          </w:p>
        </w:tc>
        <w:tc>
          <w:tcPr>
            <w:tcW w:w="347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乌鲁木齐高新技术产业开发区（乌鲁木齐市新市区）长春中路片区管理委员会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666"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项目资金</w:t>
            </w:r>
            <w:r>
              <w:rPr>
                <w:rFonts w:hint="eastAsia" w:ascii="宋体" w:hAnsi="宋体"/>
                <w:color w:val="000000"/>
                <w:kern w:val="0"/>
                <w:sz w:val="18"/>
                <w:szCs w:val="24"/>
                <w:lang w:val="en-US" w:eastAsia="zh-CN"/>
              </w:rPr>
              <w:br w:type="textWrapping"/>
            </w:r>
            <w:r>
              <w:rPr>
                <w:rFonts w:hint="eastAsia" w:ascii="宋体" w:hAnsi="宋体"/>
                <w:color w:val="000000"/>
                <w:kern w:val="0"/>
                <w:sz w:val="18"/>
                <w:szCs w:val="24"/>
                <w:lang w:val="en-US" w:eastAsia="zh-CN"/>
              </w:rPr>
              <w:t>（万元）</w:t>
            </w:r>
          </w:p>
        </w:tc>
        <w:tc>
          <w:tcPr>
            <w:tcW w:w="200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7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年初预算数</w:t>
            </w:r>
          </w:p>
        </w:tc>
        <w:tc>
          <w:tcPr>
            <w:tcW w:w="9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全年预算数</w:t>
            </w:r>
          </w:p>
        </w:tc>
        <w:tc>
          <w:tcPr>
            <w:tcW w:w="14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全年执行数</w:t>
            </w:r>
          </w:p>
        </w:tc>
        <w:tc>
          <w:tcPr>
            <w:tcW w:w="15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分值</w:t>
            </w:r>
          </w:p>
        </w:tc>
        <w:tc>
          <w:tcPr>
            <w:tcW w:w="12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执行率</w:t>
            </w:r>
          </w:p>
        </w:tc>
        <w:tc>
          <w:tcPr>
            <w:tcW w:w="6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166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200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年度资金总额</w:t>
            </w:r>
          </w:p>
        </w:tc>
        <w:tc>
          <w:tcPr>
            <w:tcW w:w="7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400.00</w:t>
            </w:r>
          </w:p>
        </w:tc>
        <w:tc>
          <w:tcPr>
            <w:tcW w:w="9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400.00</w:t>
            </w:r>
          </w:p>
        </w:tc>
        <w:tc>
          <w:tcPr>
            <w:tcW w:w="14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lang w:val="en-US"/>
              </w:rPr>
            </w:pPr>
            <w:r>
              <w:rPr>
                <w:rFonts w:hint="eastAsia" w:ascii="宋体" w:hAnsi="宋体"/>
                <w:color w:val="000000"/>
                <w:kern w:val="0"/>
                <w:sz w:val="18"/>
                <w:szCs w:val="24"/>
                <w:lang w:val="en-US" w:eastAsia="zh-CN"/>
              </w:rPr>
              <w:t>454.62</w:t>
            </w:r>
          </w:p>
        </w:tc>
        <w:tc>
          <w:tcPr>
            <w:tcW w:w="15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w:t>
            </w:r>
          </w:p>
        </w:tc>
        <w:tc>
          <w:tcPr>
            <w:tcW w:w="12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w:t>
            </w:r>
          </w:p>
        </w:tc>
        <w:tc>
          <w:tcPr>
            <w:tcW w:w="6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166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200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其中：当年财政拨款</w:t>
            </w:r>
          </w:p>
        </w:tc>
        <w:tc>
          <w:tcPr>
            <w:tcW w:w="7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400</w:t>
            </w:r>
          </w:p>
        </w:tc>
        <w:tc>
          <w:tcPr>
            <w:tcW w:w="9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400</w:t>
            </w:r>
          </w:p>
        </w:tc>
        <w:tc>
          <w:tcPr>
            <w:tcW w:w="14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lang w:val="en-US"/>
              </w:rPr>
            </w:pPr>
            <w:r>
              <w:rPr>
                <w:rFonts w:hint="eastAsia" w:ascii="宋体" w:hAnsi="宋体"/>
                <w:color w:val="000000"/>
                <w:kern w:val="0"/>
                <w:sz w:val="18"/>
                <w:szCs w:val="24"/>
                <w:lang w:val="en-US" w:eastAsia="zh-CN"/>
              </w:rPr>
              <w:t>454.62</w:t>
            </w:r>
          </w:p>
        </w:tc>
        <w:tc>
          <w:tcPr>
            <w:tcW w:w="15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c>
          <w:tcPr>
            <w:tcW w:w="12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c>
          <w:tcPr>
            <w:tcW w:w="6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166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200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 xml:space="preserve">      上年结转资金</w:t>
            </w:r>
          </w:p>
        </w:tc>
        <w:tc>
          <w:tcPr>
            <w:tcW w:w="7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0</w:t>
            </w:r>
          </w:p>
        </w:tc>
        <w:tc>
          <w:tcPr>
            <w:tcW w:w="9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0</w:t>
            </w:r>
          </w:p>
        </w:tc>
        <w:tc>
          <w:tcPr>
            <w:tcW w:w="14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0</w:t>
            </w:r>
          </w:p>
        </w:tc>
        <w:tc>
          <w:tcPr>
            <w:tcW w:w="15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c>
          <w:tcPr>
            <w:tcW w:w="12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c>
          <w:tcPr>
            <w:tcW w:w="6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jc w:val="center"/>
        </w:trPr>
        <w:tc>
          <w:tcPr>
            <w:tcW w:w="166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200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 xml:space="preserve">  其他资金</w:t>
            </w:r>
          </w:p>
        </w:tc>
        <w:tc>
          <w:tcPr>
            <w:tcW w:w="74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0</w:t>
            </w:r>
          </w:p>
        </w:tc>
        <w:tc>
          <w:tcPr>
            <w:tcW w:w="9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0</w:t>
            </w:r>
          </w:p>
        </w:tc>
        <w:tc>
          <w:tcPr>
            <w:tcW w:w="14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0</w:t>
            </w:r>
          </w:p>
        </w:tc>
        <w:tc>
          <w:tcPr>
            <w:tcW w:w="15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c>
          <w:tcPr>
            <w:tcW w:w="12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c>
          <w:tcPr>
            <w:tcW w:w="6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65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年度总体目标</w:t>
            </w:r>
          </w:p>
        </w:tc>
        <w:tc>
          <w:tcPr>
            <w:tcW w:w="467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预期目标</w:t>
            </w:r>
          </w:p>
        </w:tc>
        <w:tc>
          <w:tcPr>
            <w:tcW w:w="4927"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5" w:hRule="atLeast"/>
          <w:jc w:val="center"/>
        </w:trPr>
        <w:tc>
          <w:tcPr>
            <w:tcW w:w="6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467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以习近平新时代中国特色社会主义思想为指导，紧紧围绕社会稳定和长治久安的总目标，坚决贯彻落实自治区党委“1+3+3改革开放”工作部署和市委确定的“聚焦总目标”、抓好“三件大事”、建设“六个首府”总体思路及区委各项工作安排，以及推动“打、防、管、控、建”常态化的工作要求，统一思想认识，强化责任担当。</w:t>
            </w:r>
          </w:p>
        </w:tc>
        <w:tc>
          <w:tcPr>
            <w:tcW w:w="4927"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一是关心关爱困难群众。春节走访慰问低保户30户，给予慰问品共30份；为24户26人低保户发放城市低保救助金共计211645元；发放30户取暖救助金32920.98元；发放低保家庭中的中小学生享受春季膳食补贴3人，共计1350元，秋季膳食补贴2人，共计900元；发放慈善城市补助金11700元；高龄津贴全年累计打卡发放3101人次，发放金额共计249475元；二是开展就业工作。截止目前，实现就业安置1933人，已完成就业安置任务的100.02%；失业登记人员501人，年内城镇登记失业率控制在3%以内；组织参加“就业服务月”“春风行动”“民营企业招聘周”“大中专毕业生就业援助月”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65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1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一级指标</w:t>
            </w:r>
          </w:p>
        </w:tc>
        <w:tc>
          <w:tcPr>
            <w:tcW w:w="102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二级指标</w:t>
            </w:r>
          </w:p>
        </w:tc>
        <w:tc>
          <w:tcPr>
            <w:tcW w:w="1726"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三级指标</w:t>
            </w:r>
          </w:p>
        </w:tc>
        <w:tc>
          <w:tcPr>
            <w:tcW w:w="92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年度指标值</w:t>
            </w:r>
          </w:p>
        </w:tc>
        <w:tc>
          <w:tcPr>
            <w:tcW w:w="83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实际完成值</w:t>
            </w:r>
          </w:p>
        </w:tc>
        <w:tc>
          <w:tcPr>
            <w:tcW w:w="1359"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分值</w:t>
            </w:r>
          </w:p>
        </w:tc>
        <w:tc>
          <w:tcPr>
            <w:tcW w:w="1406"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得分</w:t>
            </w:r>
          </w:p>
        </w:tc>
        <w:tc>
          <w:tcPr>
            <w:tcW w:w="1331"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6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2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72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92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83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35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40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33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65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年度绩效指标完成情况</w:t>
            </w:r>
          </w:p>
        </w:tc>
        <w:tc>
          <w:tcPr>
            <w:tcW w:w="101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产出指标</w:t>
            </w: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数量指标</w:t>
            </w:r>
          </w:p>
        </w:tc>
        <w:tc>
          <w:tcPr>
            <w:tcW w:w="1726" w:type="dxa"/>
            <w:gridSpan w:val="2"/>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房屋建筑供暖面积</w:t>
            </w:r>
          </w:p>
        </w:tc>
        <w:tc>
          <w:tcPr>
            <w:tcW w:w="9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=9213.01平方米</w:t>
            </w:r>
          </w:p>
        </w:tc>
        <w:tc>
          <w:tcPr>
            <w:tcW w:w="8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9213.01平方米</w:t>
            </w:r>
          </w:p>
        </w:tc>
        <w:tc>
          <w:tcPr>
            <w:tcW w:w="135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40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3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6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数量指标</w:t>
            </w:r>
          </w:p>
        </w:tc>
        <w:tc>
          <w:tcPr>
            <w:tcW w:w="1726" w:type="dxa"/>
            <w:gridSpan w:val="2"/>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公务保障用车数量</w:t>
            </w:r>
          </w:p>
        </w:tc>
        <w:tc>
          <w:tcPr>
            <w:tcW w:w="9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=20辆</w:t>
            </w:r>
          </w:p>
        </w:tc>
        <w:tc>
          <w:tcPr>
            <w:tcW w:w="8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20辆</w:t>
            </w:r>
          </w:p>
        </w:tc>
        <w:tc>
          <w:tcPr>
            <w:tcW w:w="135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40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3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6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数量指标</w:t>
            </w:r>
          </w:p>
        </w:tc>
        <w:tc>
          <w:tcPr>
            <w:tcW w:w="1726" w:type="dxa"/>
            <w:gridSpan w:val="2"/>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在编人数</w:t>
            </w:r>
          </w:p>
        </w:tc>
        <w:tc>
          <w:tcPr>
            <w:tcW w:w="9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=371人</w:t>
            </w:r>
          </w:p>
        </w:tc>
        <w:tc>
          <w:tcPr>
            <w:tcW w:w="8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371人</w:t>
            </w:r>
          </w:p>
        </w:tc>
        <w:tc>
          <w:tcPr>
            <w:tcW w:w="135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40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3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6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质量指标</w:t>
            </w:r>
          </w:p>
        </w:tc>
        <w:tc>
          <w:tcPr>
            <w:tcW w:w="1726" w:type="dxa"/>
            <w:gridSpan w:val="2"/>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经费保障率</w:t>
            </w:r>
          </w:p>
        </w:tc>
        <w:tc>
          <w:tcPr>
            <w:tcW w:w="9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w:t>
            </w:r>
          </w:p>
        </w:tc>
        <w:tc>
          <w:tcPr>
            <w:tcW w:w="8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w:t>
            </w:r>
          </w:p>
        </w:tc>
        <w:tc>
          <w:tcPr>
            <w:tcW w:w="135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40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3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6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质量指标</w:t>
            </w:r>
          </w:p>
        </w:tc>
        <w:tc>
          <w:tcPr>
            <w:tcW w:w="1726" w:type="dxa"/>
            <w:gridSpan w:val="2"/>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上级指派工作合格率</w:t>
            </w:r>
          </w:p>
        </w:tc>
        <w:tc>
          <w:tcPr>
            <w:tcW w:w="9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w:t>
            </w:r>
          </w:p>
        </w:tc>
        <w:tc>
          <w:tcPr>
            <w:tcW w:w="8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w:t>
            </w:r>
          </w:p>
        </w:tc>
        <w:tc>
          <w:tcPr>
            <w:tcW w:w="135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40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3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6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时效指标</w:t>
            </w:r>
          </w:p>
        </w:tc>
        <w:tc>
          <w:tcPr>
            <w:tcW w:w="1726" w:type="dxa"/>
            <w:gridSpan w:val="2"/>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公用经费支付及时性</w:t>
            </w:r>
          </w:p>
        </w:tc>
        <w:tc>
          <w:tcPr>
            <w:tcW w:w="9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w:t>
            </w:r>
          </w:p>
        </w:tc>
        <w:tc>
          <w:tcPr>
            <w:tcW w:w="8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w:t>
            </w:r>
          </w:p>
        </w:tc>
        <w:tc>
          <w:tcPr>
            <w:tcW w:w="135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40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3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时效指标</w:t>
            </w:r>
          </w:p>
        </w:tc>
        <w:tc>
          <w:tcPr>
            <w:tcW w:w="1726" w:type="dxa"/>
            <w:gridSpan w:val="2"/>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项目完成时间</w:t>
            </w:r>
          </w:p>
        </w:tc>
        <w:tc>
          <w:tcPr>
            <w:tcW w:w="9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&lt;=2021年12月31日</w:t>
            </w:r>
          </w:p>
        </w:tc>
        <w:tc>
          <w:tcPr>
            <w:tcW w:w="8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2021年12月31日</w:t>
            </w:r>
          </w:p>
        </w:tc>
        <w:tc>
          <w:tcPr>
            <w:tcW w:w="135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40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3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6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成本指标</w:t>
            </w:r>
          </w:p>
        </w:tc>
        <w:tc>
          <w:tcPr>
            <w:tcW w:w="1726" w:type="dxa"/>
            <w:gridSpan w:val="2"/>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人均运转经费</w:t>
            </w:r>
          </w:p>
        </w:tc>
        <w:tc>
          <w:tcPr>
            <w:tcW w:w="9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&lt;=1.21万元</w:t>
            </w:r>
          </w:p>
        </w:tc>
        <w:tc>
          <w:tcPr>
            <w:tcW w:w="8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1.22万元</w:t>
            </w:r>
          </w:p>
        </w:tc>
        <w:tc>
          <w:tcPr>
            <w:tcW w:w="135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40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3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6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成本指标</w:t>
            </w:r>
          </w:p>
        </w:tc>
        <w:tc>
          <w:tcPr>
            <w:tcW w:w="1726" w:type="dxa"/>
            <w:gridSpan w:val="2"/>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经费总数</w:t>
            </w:r>
          </w:p>
        </w:tc>
        <w:tc>
          <w:tcPr>
            <w:tcW w:w="9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&lt;=450万</w:t>
            </w:r>
          </w:p>
        </w:tc>
        <w:tc>
          <w:tcPr>
            <w:tcW w:w="8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454.62万</w:t>
            </w:r>
          </w:p>
        </w:tc>
        <w:tc>
          <w:tcPr>
            <w:tcW w:w="135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40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3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6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1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效益指标</w:t>
            </w: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经济效益指标</w:t>
            </w:r>
          </w:p>
        </w:tc>
        <w:tc>
          <w:tcPr>
            <w:tcW w:w="1726" w:type="dxa"/>
            <w:gridSpan w:val="2"/>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left"/>
              <w:rPr>
                <w:rFonts w:hint="eastAsia" w:ascii="宋体" w:hAnsi="宋体"/>
                <w:color w:val="000000"/>
                <w:sz w:val="18"/>
                <w:szCs w:val="24"/>
              </w:rPr>
            </w:pPr>
          </w:p>
        </w:tc>
        <w:tc>
          <w:tcPr>
            <w:tcW w:w="9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8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35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40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3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6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社会效益指标</w:t>
            </w:r>
          </w:p>
        </w:tc>
        <w:tc>
          <w:tcPr>
            <w:tcW w:w="1726" w:type="dxa"/>
            <w:gridSpan w:val="2"/>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持续维护辖区治安稳定服务辖区群众</w:t>
            </w:r>
          </w:p>
        </w:tc>
        <w:tc>
          <w:tcPr>
            <w:tcW w:w="9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有效</w:t>
            </w:r>
          </w:p>
        </w:tc>
        <w:tc>
          <w:tcPr>
            <w:tcW w:w="8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98%</w:t>
            </w:r>
          </w:p>
        </w:tc>
        <w:tc>
          <w:tcPr>
            <w:tcW w:w="135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15</w:t>
            </w:r>
          </w:p>
        </w:tc>
        <w:tc>
          <w:tcPr>
            <w:tcW w:w="140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14.7</w:t>
            </w:r>
          </w:p>
        </w:tc>
        <w:tc>
          <w:tcPr>
            <w:tcW w:w="13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6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生态效益指标</w:t>
            </w:r>
          </w:p>
        </w:tc>
        <w:tc>
          <w:tcPr>
            <w:tcW w:w="1726" w:type="dxa"/>
            <w:gridSpan w:val="2"/>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left"/>
              <w:rPr>
                <w:rFonts w:hint="eastAsia" w:ascii="宋体" w:hAnsi="宋体"/>
                <w:color w:val="000000"/>
                <w:sz w:val="18"/>
                <w:szCs w:val="24"/>
              </w:rPr>
            </w:pPr>
          </w:p>
        </w:tc>
        <w:tc>
          <w:tcPr>
            <w:tcW w:w="9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8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35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40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3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jc w:val="center"/>
        </w:trPr>
        <w:tc>
          <w:tcPr>
            <w:tcW w:w="6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可持续影响指标</w:t>
            </w:r>
          </w:p>
        </w:tc>
        <w:tc>
          <w:tcPr>
            <w:tcW w:w="1726" w:type="dxa"/>
            <w:gridSpan w:val="2"/>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为社区居民服务，维护社区稳定，持续解决所在辖区居民困难期限</w:t>
            </w:r>
          </w:p>
        </w:tc>
        <w:tc>
          <w:tcPr>
            <w:tcW w:w="9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&gt;=1年</w:t>
            </w:r>
          </w:p>
        </w:tc>
        <w:tc>
          <w:tcPr>
            <w:tcW w:w="8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1年</w:t>
            </w:r>
          </w:p>
        </w:tc>
        <w:tc>
          <w:tcPr>
            <w:tcW w:w="135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15</w:t>
            </w:r>
          </w:p>
        </w:tc>
        <w:tc>
          <w:tcPr>
            <w:tcW w:w="140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15</w:t>
            </w:r>
          </w:p>
        </w:tc>
        <w:tc>
          <w:tcPr>
            <w:tcW w:w="13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6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满意度指标</w:t>
            </w: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满意度指标</w:t>
            </w:r>
          </w:p>
        </w:tc>
        <w:tc>
          <w:tcPr>
            <w:tcW w:w="1726" w:type="dxa"/>
            <w:gridSpan w:val="2"/>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受益人员满意度</w:t>
            </w:r>
          </w:p>
        </w:tc>
        <w:tc>
          <w:tcPr>
            <w:tcW w:w="9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&gt;=95%</w:t>
            </w:r>
          </w:p>
        </w:tc>
        <w:tc>
          <w:tcPr>
            <w:tcW w:w="8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95%</w:t>
            </w:r>
          </w:p>
        </w:tc>
        <w:tc>
          <w:tcPr>
            <w:tcW w:w="135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15</w:t>
            </w:r>
          </w:p>
        </w:tc>
        <w:tc>
          <w:tcPr>
            <w:tcW w:w="140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15</w:t>
            </w:r>
          </w:p>
        </w:tc>
        <w:tc>
          <w:tcPr>
            <w:tcW w:w="13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6164"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总分</w:t>
            </w:r>
          </w:p>
        </w:tc>
        <w:tc>
          <w:tcPr>
            <w:tcW w:w="135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w:t>
            </w:r>
          </w:p>
        </w:tc>
        <w:tc>
          <w:tcPr>
            <w:tcW w:w="140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99.7分</w:t>
            </w:r>
          </w:p>
        </w:tc>
        <w:tc>
          <w:tcPr>
            <w:tcW w:w="13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r>
    </w:tbl>
    <w:p>
      <w:pPr>
        <w:shd w:val="clear" w:color="auto" w:fill="FFFFFF"/>
        <w:spacing w:beforeLines="0" w:afterLines="0" w:line="360" w:lineRule="auto"/>
        <w:ind w:firstLine="640"/>
        <w:jc w:val="center"/>
        <w:rPr>
          <w:rFonts w:hint="eastAsia" w:ascii="仿宋_GB2312" w:hAnsi="仿宋_GB2312" w:eastAsia="仿宋_GB2312"/>
          <w:color w:val="auto"/>
          <w:kern w:val="0"/>
          <w:sz w:val="32"/>
          <w:szCs w:val="24"/>
          <w:lang w:val="en-US"/>
        </w:rPr>
        <w:sectPr>
          <w:pgSz w:w="12240" w:h="15840"/>
          <w:pgMar w:top="1440" w:right="1800" w:bottom="1440" w:left="1800" w:header="720" w:footer="720" w:gutter="0"/>
          <w:lnNumType w:countBy="0" w:distance="360"/>
          <w:cols w:space="720" w:num="1"/>
        </w:sectPr>
      </w:pPr>
    </w:p>
    <w:tbl>
      <w:tblPr>
        <w:tblStyle w:val="2"/>
        <w:tblW w:w="98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3"/>
        <w:gridCol w:w="709"/>
        <w:gridCol w:w="1016"/>
        <w:gridCol w:w="963"/>
        <w:gridCol w:w="977"/>
        <w:gridCol w:w="40"/>
        <w:gridCol w:w="936"/>
        <w:gridCol w:w="756"/>
        <w:gridCol w:w="623"/>
        <w:gridCol w:w="390"/>
        <w:gridCol w:w="821"/>
        <w:gridCol w:w="345"/>
        <w:gridCol w:w="683"/>
        <w:gridCol w:w="10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9860" w:type="dxa"/>
            <w:gridSpan w:val="14"/>
            <w:tcBorders>
              <w:top w:val="nil"/>
              <w:left w:val="nil"/>
              <w:bottom w:val="nil"/>
              <w:right w:val="nil"/>
              <w:tl2br w:val="nil"/>
              <w:tr2bl w:val="nil"/>
            </w:tcBorders>
            <w:noWrap w:val="0"/>
            <w:vAlign w:val="center"/>
          </w:tcPr>
          <w:p>
            <w:pPr>
              <w:spacing w:beforeLines="0" w:afterLines="0"/>
              <w:jc w:val="center"/>
              <w:textAlignment w:val="center"/>
              <w:rPr>
                <w:rFonts w:hint="eastAsia" w:ascii="宋体" w:hAnsi="宋体"/>
                <w:b/>
                <w:color w:val="000000"/>
                <w:sz w:val="18"/>
                <w:szCs w:val="24"/>
              </w:rPr>
            </w:pPr>
            <w:r>
              <w:rPr>
                <w:rFonts w:hint="eastAsia" w:ascii="宋体" w:hAnsi="宋体"/>
                <w:b/>
                <w:color w:val="000000"/>
                <w:kern w:val="0"/>
                <w:sz w:val="18"/>
                <w:szCs w:val="24"/>
                <w:lang w:val="en-US" w:eastAsia="zh-CN"/>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9860" w:type="dxa"/>
            <w:gridSpan w:val="14"/>
            <w:tcBorders>
              <w:top w:val="nil"/>
              <w:left w:val="nil"/>
              <w:bottom w:val="nil"/>
              <w:right w:val="nil"/>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3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项目名称</w:t>
            </w:r>
          </w:p>
        </w:tc>
        <w:tc>
          <w:tcPr>
            <w:tcW w:w="8525"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伙食补助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3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主管部门</w:t>
            </w:r>
          </w:p>
        </w:tc>
        <w:tc>
          <w:tcPr>
            <w:tcW w:w="384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乌鲁木齐高新技术产业开发区（乌鲁木齐市新市区）长春中路片区管理委员会</w:t>
            </w:r>
          </w:p>
        </w:tc>
        <w:tc>
          <w:tcPr>
            <w:tcW w:w="12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实施单位</w:t>
            </w:r>
          </w:p>
        </w:tc>
        <w:tc>
          <w:tcPr>
            <w:tcW w:w="342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乌鲁木齐高新技术产业开发区（乌鲁木齐市新市区）长春中路片区管理委员会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335"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项目资金</w:t>
            </w:r>
            <w:r>
              <w:rPr>
                <w:rFonts w:hint="eastAsia" w:ascii="宋体" w:hAnsi="宋体"/>
                <w:color w:val="000000"/>
                <w:kern w:val="0"/>
                <w:sz w:val="18"/>
                <w:szCs w:val="24"/>
                <w:lang w:val="en-US" w:eastAsia="zh-CN"/>
              </w:rPr>
              <w:br w:type="textWrapping"/>
            </w:r>
            <w:r>
              <w:rPr>
                <w:rFonts w:hint="eastAsia" w:ascii="宋体" w:hAnsi="宋体"/>
                <w:color w:val="000000"/>
                <w:kern w:val="0"/>
                <w:sz w:val="18"/>
                <w:szCs w:val="24"/>
                <w:lang w:val="en-US" w:eastAsia="zh-CN"/>
              </w:rPr>
              <w:t>（万元）</w:t>
            </w: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年初预算数</w:t>
            </w:r>
          </w:p>
        </w:tc>
        <w:tc>
          <w:tcPr>
            <w:tcW w:w="6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全年预算数</w:t>
            </w:r>
          </w:p>
        </w:tc>
        <w:tc>
          <w:tcPr>
            <w:tcW w:w="12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全年执行数</w:t>
            </w:r>
          </w:p>
        </w:tc>
        <w:tc>
          <w:tcPr>
            <w:tcW w:w="129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分值</w:t>
            </w: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执行率</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33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年度资金总额</w:t>
            </w:r>
          </w:p>
        </w:tc>
        <w:tc>
          <w:tcPr>
            <w:tcW w:w="10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168.97</w:t>
            </w:r>
          </w:p>
        </w:tc>
        <w:tc>
          <w:tcPr>
            <w:tcW w:w="6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106.11</w:t>
            </w:r>
          </w:p>
        </w:tc>
        <w:tc>
          <w:tcPr>
            <w:tcW w:w="12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106.11</w:t>
            </w:r>
          </w:p>
        </w:tc>
        <w:tc>
          <w:tcPr>
            <w:tcW w:w="129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w:t>
            </w: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100.00%</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33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其中：当年财政拨款</w:t>
            </w:r>
          </w:p>
        </w:tc>
        <w:tc>
          <w:tcPr>
            <w:tcW w:w="10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168.97</w:t>
            </w:r>
          </w:p>
        </w:tc>
        <w:tc>
          <w:tcPr>
            <w:tcW w:w="6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106.11</w:t>
            </w:r>
          </w:p>
        </w:tc>
        <w:tc>
          <w:tcPr>
            <w:tcW w:w="12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106.11</w:t>
            </w:r>
          </w:p>
        </w:tc>
        <w:tc>
          <w:tcPr>
            <w:tcW w:w="129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33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 xml:space="preserve">      上年结转资金</w:t>
            </w:r>
          </w:p>
        </w:tc>
        <w:tc>
          <w:tcPr>
            <w:tcW w:w="10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0</w:t>
            </w:r>
          </w:p>
        </w:tc>
        <w:tc>
          <w:tcPr>
            <w:tcW w:w="6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0</w:t>
            </w:r>
          </w:p>
        </w:tc>
        <w:tc>
          <w:tcPr>
            <w:tcW w:w="12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0</w:t>
            </w:r>
          </w:p>
        </w:tc>
        <w:tc>
          <w:tcPr>
            <w:tcW w:w="129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33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 xml:space="preserve">  其他资金</w:t>
            </w:r>
          </w:p>
        </w:tc>
        <w:tc>
          <w:tcPr>
            <w:tcW w:w="10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0</w:t>
            </w:r>
          </w:p>
        </w:tc>
        <w:tc>
          <w:tcPr>
            <w:tcW w:w="6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0</w:t>
            </w:r>
          </w:p>
        </w:tc>
        <w:tc>
          <w:tcPr>
            <w:tcW w:w="12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0</w:t>
            </w:r>
          </w:p>
        </w:tc>
        <w:tc>
          <w:tcPr>
            <w:tcW w:w="129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5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年度总体目标</w:t>
            </w:r>
          </w:p>
        </w:tc>
        <w:tc>
          <w:tcPr>
            <w:tcW w:w="459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预期目标</w:t>
            </w:r>
          </w:p>
        </w:tc>
        <w:tc>
          <w:tcPr>
            <w:tcW w:w="4684"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5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459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以习近平新时代中国特色社会主义思想为指导，紧紧围绕社会稳定和长治久安的总目标，坚决贯彻落实自治区党委“1+3+3改革开放”工作部署和市委确定的“聚焦总目标”、抓好“三件大事”、建设“六个首府”总体思路及区委各项工作安排，以及推动“打、防、管、控、建”常态化的工作要求，统一思想认识，强化责任担当。，保证食堂正常运转、干部职工能够按时用餐</w:t>
            </w:r>
          </w:p>
        </w:tc>
        <w:tc>
          <w:tcPr>
            <w:tcW w:w="4684"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以习近平新时代中国特色社会主义思想为指导，紧紧围绕社会稳定和长治久安的总目标，坚决贯彻落实自治区党委“1+3+3改革开放”工作部署和市委确定的“聚焦总目标”、抓好“三件大事”、建设“六个首府”总体思路及区委各项工作安排，以及推动“打、防、管、控、建”常态化的工作要求，统一思想认识，强化责任担当。完成资金的及时按规支付，保证食堂正常运转、干部职工能够按时用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5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75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一级指标</w:t>
            </w:r>
          </w:p>
        </w:tc>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二级指标</w:t>
            </w:r>
          </w:p>
        </w:tc>
        <w:tc>
          <w:tcPr>
            <w:tcW w:w="2131"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三级指标</w:t>
            </w:r>
          </w:p>
        </w:tc>
        <w:tc>
          <w:tcPr>
            <w:tcW w:w="63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年度指标值</w:t>
            </w:r>
          </w:p>
        </w:tc>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实际完成值</w:t>
            </w:r>
          </w:p>
        </w:tc>
        <w:tc>
          <w:tcPr>
            <w:tcW w:w="1081"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分值</w:t>
            </w:r>
          </w:p>
        </w:tc>
        <w:tc>
          <w:tcPr>
            <w:tcW w:w="1231"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得分</w:t>
            </w:r>
          </w:p>
        </w:tc>
        <w:tc>
          <w:tcPr>
            <w:tcW w:w="1786"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5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7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2131"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6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23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78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5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年度绩效指标完成情况</w:t>
            </w:r>
          </w:p>
        </w:tc>
        <w:tc>
          <w:tcPr>
            <w:tcW w:w="75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产出指标</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数量指标</w:t>
            </w:r>
          </w:p>
        </w:tc>
        <w:tc>
          <w:tcPr>
            <w:tcW w:w="213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发放（补助）人数（人次）</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=502人</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502人</w:t>
            </w:r>
          </w:p>
        </w:tc>
        <w:tc>
          <w:tcPr>
            <w:tcW w:w="108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2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7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5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7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数量指标</w:t>
            </w:r>
          </w:p>
        </w:tc>
        <w:tc>
          <w:tcPr>
            <w:tcW w:w="213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发放（补助）次数</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=12次</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12次</w:t>
            </w:r>
          </w:p>
        </w:tc>
        <w:tc>
          <w:tcPr>
            <w:tcW w:w="108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2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7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5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7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质量指标</w:t>
            </w:r>
          </w:p>
        </w:tc>
        <w:tc>
          <w:tcPr>
            <w:tcW w:w="213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人员伙食经费保障率</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w:t>
            </w:r>
          </w:p>
        </w:tc>
        <w:tc>
          <w:tcPr>
            <w:tcW w:w="108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2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7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5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7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质量指标</w:t>
            </w:r>
          </w:p>
        </w:tc>
        <w:tc>
          <w:tcPr>
            <w:tcW w:w="213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项目完成合格率</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w:t>
            </w:r>
          </w:p>
        </w:tc>
        <w:tc>
          <w:tcPr>
            <w:tcW w:w="108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2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7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5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7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时效指标</w:t>
            </w:r>
          </w:p>
        </w:tc>
        <w:tc>
          <w:tcPr>
            <w:tcW w:w="213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资金发放（补助）及时性</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w:t>
            </w:r>
          </w:p>
        </w:tc>
        <w:tc>
          <w:tcPr>
            <w:tcW w:w="108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2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7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7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时效指标</w:t>
            </w:r>
          </w:p>
        </w:tc>
        <w:tc>
          <w:tcPr>
            <w:tcW w:w="213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项目完成时间</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&lt;=2021年12月31日</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2021年12月31日</w:t>
            </w:r>
          </w:p>
        </w:tc>
        <w:tc>
          <w:tcPr>
            <w:tcW w:w="108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2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7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7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成本指标</w:t>
            </w:r>
          </w:p>
        </w:tc>
        <w:tc>
          <w:tcPr>
            <w:tcW w:w="213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每次发放（补助）资金数</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&lt;=14.08万元</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8.84万元</w:t>
            </w:r>
          </w:p>
        </w:tc>
        <w:tc>
          <w:tcPr>
            <w:tcW w:w="108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w:t>
            </w:r>
          </w:p>
        </w:tc>
        <w:tc>
          <w:tcPr>
            <w:tcW w:w="12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6.2</w:t>
            </w:r>
          </w:p>
        </w:tc>
        <w:tc>
          <w:tcPr>
            <w:tcW w:w="17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7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成本指标</w:t>
            </w:r>
          </w:p>
        </w:tc>
        <w:tc>
          <w:tcPr>
            <w:tcW w:w="213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经费总数</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&lt;=168.97万元</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106.11万元</w:t>
            </w:r>
          </w:p>
        </w:tc>
        <w:tc>
          <w:tcPr>
            <w:tcW w:w="108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w:t>
            </w:r>
          </w:p>
        </w:tc>
        <w:tc>
          <w:tcPr>
            <w:tcW w:w="12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6.2</w:t>
            </w:r>
          </w:p>
        </w:tc>
        <w:tc>
          <w:tcPr>
            <w:tcW w:w="17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5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75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效益指标</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经济效益指标</w:t>
            </w:r>
          </w:p>
        </w:tc>
        <w:tc>
          <w:tcPr>
            <w:tcW w:w="213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2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7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5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7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社会效益指标</w:t>
            </w:r>
          </w:p>
        </w:tc>
        <w:tc>
          <w:tcPr>
            <w:tcW w:w="213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保障我I区各单位 工作顺利开展</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有效</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有效</w:t>
            </w:r>
          </w:p>
        </w:tc>
        <w:tc>
          <w:tcPr>
            <w:tcW w:w="108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15</w:t>
            </w:r>
          </w:p>
        </w:tc>
        <w:tc>
          <w:tcPr>
            <w:tcW w:w="12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15</w:t>
            </w:r>
          </w:p>
        </w:tc>
        <w:tc>
          <w:tcPr>
            <w:tcW w:w="17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5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7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生态效益指标</w:t>
            </w:r>
          </w:p>
        </w:tc>
        <w:tc>
          <w:tcPr>
            <w:tcW w:w="213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2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7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5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7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可持续影响指标</w:t>
            </w:r>
          </w:p>
        </w:tc>
        <w:tc>
          <w:tcPr>
            <w:tcW w:w="213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 xml:space="preserve">保障干部职工能够按时用餐 </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&gt;=1年</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1年</w:t>
            </w:r>
          </w:p>
        </w:tc>
        <w:tc>
          <w:tcPr>
            <w:tcW w:w="108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15</w:t>
            </w:r>
          </w:p>
        </w:tc>
        <w:tc>
          <w:tcPr>
            <w:tcW w:w="12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15</w:t>
            </w:r>
          </w:p>
        </w:tc>
        <w:tc>
          <w:tcPr>
            <w:tcW w:w="17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5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满意度指标</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满意度指标</w:t>
            </w:r>
          </w:p>
        </w:tc>
        <w:tc>
          <w:tcPr>
            <w:tcW w:w="213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受益人员满意度</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&gt;=95%</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95%</w:t>
            </w:r>
          </w:p>
        </w:tc>
        <w:tc>
          <w:tcPr>
            <w:tcW w:w="108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w:t>
            </w:r>
          </w:p>
        </w:tc>
        <w:tc>
          <w:tcPr>
            <w:tcW w:w="12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w:t>
            </w:r>
          </w:p>
        </w:tc>
        <w:tc>
          <w:tcPr>
            <w:tcW w:w="17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5762"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总分</w:t>
            </w:r>
          </w:p>
        </w:tc>
        <w:tc>
          <w:tcPr>
            <w:tcW w:w="108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w:t>
            </w:r>
          </w:p>
        </w:tc>
        <w:tc>
          <w:tcPr>
            <w:tcW w:w="12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92.40分</w:t>
            </w:r>
          </w:p>
        </w:tc>
        <w:tc>
          <w:tcPr>
            <w:tcW w:w="17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r>
    </w:tbl>
    <w:p>
      <w:pPr>
        <w:shd w:val="clear" w:color="auto" w:fill="FFFFFF"/>
        <w:spacing w:beforeLines="0" w:afterLines="0" w:line="360" w:lineRule="auto"/>
        <w:rPr>
          <w:rFonts w:hint="eastAsia" w:ascii="仿宋_GB2312" w:hAnsi="仿宋_GB2312" w:eastAsia="仿宋_GB2312"/>
          <w:color w:val="auto"/>
          <w:kern w:val="0"/>
          <w:sz w:val="32"/>
          <w:szCs w:val="24"/>
          <w:lang w:val="en-US"/>
        </w:rPr>
      </w:pPr>
    </w:p>
    <w:p>
      <w:pPr>
        <w:shd w:val="clear" w:color="auto" w:fill="FFFFFF"/>
        <w:spacing w:beforeLines="0" w:afterLines="0" w:line="360" w:lineRule="auto"/>
        <w:rPr>
          <w:rFonts w:hint="eastAsia" w:ascii="仿宋_GB2312" w:hAnsi="仿宋_GB2312" w:eastAsia="仿宋_GB2312"/>
          <w:color w:val="auto"/>
          <w:kern w:val="0"/>
          <w:sz w:val="32"/>
          <w:szCs w:val="24"/>
          <w:lang w:val="en-US"/>
        </w:rPr>
      </w:pPr>
    </w:p>
    <w:tbl>
      <w:tblPr>
        <w:tblStyle w:val="2"/>
        <w:tblW w:w="103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02"/>
        <w:gridCol w:w="710"/>
        <w:gridCol w:w="1017"/>
        <w:gridCol w:w="817"/>
        <w:gridCol w:w="978"/>
        <w:gridCol w:w="160"/>
        <w:gridCol w:w="936"/>
        <w:gridCol w:w="756"/>
        <w:gridCol w:w="615"/>
        <w:gridCol w:w="731"/>
        <w:gridCol w:w="805"/>
        <w:gridCol w:w="603"/>
        <w:gridCol w:w="665"/>
        <w:gridCol w:w="5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10356" w:type="dxa"/>
            <w:gridSpan w:val="14"/>
            <w:tcBorders>
              <w:top w:val="nil"/>
              <w:left w:val="nil"/>
              <w:bottom w:val="nil"/>
              <w:right w:val="nil"/>
              <w:tl2br w:val="nil"/>
              <w:tr2bl w:val="nil"/>
            </w:tcBorders>
            <w:noWrap w:val="0"/>
            <w:vAlign w:val="center"/>
          </w:tcPr>
          <w:p>
            <w:pPr>
              <w:spacing w:beforeLines="0" w:afterLines="0"/>
              <w:jc w:val="center"/>
              <w:textAlignment w:val="center"/>
              <w:rPr>
                <w:rFonts w:hint="eastAsia" w:ascii="宋体" w:hAnsi="宋体"/>
                <w:b/>
                <w:color w:val="000000"/>
                <w:sz w:val="18"/>
                <w:szCs w:val="24"/>
              </w:rPr>
            </w:pPr>
            <w:r>
              <w:rPr>
                <w:rFonts w:hint="eastAsia" w:ascii="宋体" w:hAnsi="宋体"/>
                <w:b/>
                <w:color w:val="000000"/>
                <w:kern w:val="0"/>
                <w:sz w:val="18"/>
                <w:szCs w:val="24"/>
                <w:lang w:val="en-US" w:eastAsia="zh-CN"/>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10356" w:type="dxa"/>
            <w:gridSpan w:val="14"/>
            <w:tcBorders>
              <w:top w:val="nil"/>
              <w:left w:val="nil"/>
              <w:bottom w:val="nil"/>
              <w:right w:val="nil"/>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83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项目名称</w:t>
            </w:r>
          </w:p>
        </w:tc>
        <w:tc>
          <w:tcPr>
            <w:tcW w:w="8526"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非在编人员补助（巡逻员）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83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主管部门</w:t>
            </w:r>
          </w:p>
        </w:tc>
        <w:tc>
          <w:tcPr>
            <w:tcW w:w="370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乌鲁木齐高新技术产业开发区（乌鲁木齐市新市区）长春中路片区管理委员会</w:t>
            </w:r>
          </w:p>
        </w:tc>
        <w:tc>
          <w:tcPr>
            <w:tcW w:w="12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实施单位</w:t>
            </w:r>
          </w:p>
        </w:tc>
        <w:tc>
          <w:tcPr>
            <w:tcW w:w="355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乌鲁木齐高新技术产业开发区（乌鲁木齐市新市区）长春中路片区管理委员会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83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项目资金</w:t>
            </w:r>
            <w:r>
              <w:rPr>
                <w:rFonts w:hint="eastAsia" w:ascii="宋体" w:hAnsi="宋体"/>
                <w:color w:val="000000"/>
                <w:kern w:val="0"/>
                <w:sz w:val="18"/>
                <w:szCs w:val="24"/>
                <w:lang w:val="en-US" w:eastAsia="zh-CN"/>
              </w:rPr>
              <w:br w:type="textWrapping"/>
            </w:r>
            <w:r>
              <w:rPr>
                <w:rFonts w:hint="eastAsia" w:ascii="宋体" w:hAnsi="宋体"/>
                <w:color w:val="000000"/>
                <w:kern w:val="0"/>
                <w:sz w:val="18"/>
                <w:szCs w:val="24"/>
                <w:lang w:val="en-US" w:eastAsia="zh-CN"/>
              </w:rPr>
              <w:t>（万元）</w:t>
            </w: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年初预算数</w:t>
            </w:r>
          </w:p>
        </w:tc>
        <w:tc>
          <w:tcPr>
            <w:tcW w:w="70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全年预算数</w:t>
            </w:r>
          </w:p>
        </w:tc>
        <w:tc>
          <w:tcPr>
            <w:tcW w:w="12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全年执行数</w:t>
            </w:r>
          </w:p>
        </w:tc>
        <w:tc>
          <w:tcPr>
            <w:tcW w:w="16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分值</w:t>
            </w:r>
          </w:p>
        </w:tc>
        <w:tc>
          <w:tcPr>
            <w:tcW w:w="13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执行率</w:t>
            </w:r>
          </w:p>
        </w:tc>
        <w:tc>
          <w:tcPr>
            <w:tcW w:w="5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83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年度资金总额</w:t>
            </w:r>
          </w:p>
        </w:tc>
        <w:tc>
          <w:tcPr>
            <w:tcW w:w="10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131.76</w:t>
            </w:r>
          </w:p>
        </w:tc>
        <w:tc>
          <w:tcPr>
            <w:tcW w:w="70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131.76</w:t>
            </w:r>
          </w:p>
        </w:tc>
        <w:tc>
          <w:tcPr>
            <w:tcW w:w="12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137.87</w:t>
            </w:r>
          </w:p>
        </w:tc>
        <w:tc>
          <w:tcPr>
            <w:tcW w:w="16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w:t>
            </w:r>
          </w:p>
        </w:tc>
        <w:tc>
          <w:tcPr>
            <w:tcW w:w="13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104.64%</w:t>
            </w:r>
          </w:p>
        </w:tc>
        <w:tc>
          <w:tcPr>
            <w:tcW w:w="5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83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其中：当年财政拨款</w:t>
            </w:r>
          </w:p>
        </w:tc>
        <w:tc>
          <w:tcPr>
            <w:tcW w:w="10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131.76</w:t>
            </w:r>
          </w:p>
        </w:tc>
        <w:tc>
          <w:tcPr>
            <w:tcW w:w="70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131.76</w:t>
            </w:r>
          </w:p>
        </w:tc>
        <w:tc>
          <w:tcPr>
            <w:tcW w:w="12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137.87</w:t>
            </w:r>
          </w:p>
        </w:tc>
        <w:tc>
          <w:tcPr>
            <w:tcW w:w="16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c>
          <w:tcPr>
            <w:tcW w:w="13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c>
          <w:tcPr>
            <w:tcW w:w="5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83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 xml:space="preserve">      上年结转资金</w:t>
            </w:r>
          </w:p>
        </w:tc>
        <w:tc>
          <w:tcPr>
            <w:tcW w:w="10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0</w:t>
            </w:r>
          </w:p>
        </w:tc>
        <w:tc>
          <w:tcPr>
            <w:tcW w:w="70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0</w:t>
            </w:r>
          </w:p>
        </w:tc>
        <w:tc>
          <w:tcPr>
            <w:tcW w:w="12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0</w:t>
            </w:r>
          </w:p>
        </w:tc>
        <w:tc>
          <w:tcPr>
            <w:tcW w:w="16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c>
          <w:tcPr>
            <w:tcW w:w="13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c>
          <w:tcPr>
            <w:tcW w:w="5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83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9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 xml:space="preserve">  其他资金</w:t>
            </w:r>
          </w:p>
        </w:tc>
        <w:tc>
          <w:tcPr>
            <w:tcW w:w="10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0</w:t>
            </w:r>
          </w:p>
        </w:tc>
        <w:tc>
          <w:tcPr>
            <w:tcW w:w="70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0</w:t>
            </w:r>
          </w:p>
        </w:tc>
        <w:tc>
          <w:tcPr>
            <w:tcW w:w="12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0</w:t>
            </w:r>
          </w:p>
        </w:tc>
        <w:tc>
          <w:tcPr>
            <w:tcW w:w="16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c>
          <w:tcPr>
            <w:tcW w:w="13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c>
          <w:tcPr>
            <w:tcW w:w="5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年度总体目标</w:t>
            </w:r>
          </w:p>
        </w:tc>
        <w:tc>
          <w:tcPr>
            <w:tcW w:w="4456"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预期目标</w:t>
            </w:r>
          </w:p>
        </w:tc>
        <w:tc>
          <w:tcPr>
            <w:tcW w:w="4820"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4456"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以习近平新时代中国特色社会主义思想为指导，紧紧围绕社会稳定和长治久安的总目标，坚决贯彻落实自治区党委“1+3+3改革开放”工作部署和市委确定的“聚焦总目标”、抓好“三件大事”、建设“六个首府”总体思路及区委各项工作安排，以及推动“打、防、管、控、建”常态化的工作要求，统一思想认识，强化责任担当。</w:t>
            </w:r>
          </w:p>
        </w:tc>
        <w:tc>
          <w:tcPr>
            <w:tcW w:w="4820"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加强流动人口管理。开展武装清查、集中清查以及社区自查130次3033户次11025人次；二是加强短租房（网约房）规范化管理。全面落实“六全”工作机制，辖区共摸排短租房（网约房）1户，依托常态化入户清查及专项清查，开展日常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75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一级指标</w:t>
            </w:r>
          </w:p>
        </w:tc>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二级指标</w:t>
            </w:r>
          </w:p>
        </w:tc>
        <w:tc>
          <w:tcPr>
            <w:tcW w:w="2101"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三级指标</w:t>
            </w:r>
          </w:p>
        </w:tc>
        <w:tc>
          <w:tcPr>
            <w:tcW w:w="52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年度指标值</w:t>
            </w:r>
          </w:p>
        </w:tc>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实际完成值</w:t>
            </w:r>
          </w:p>
        </w:tc>
        <w:tc>
          <w:tcPr>
            <w:tcW w:w="1456"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分值</w:t>
            </w:r>
          </w:p>
        </w:tc>
        <w:tc>
          <w:tcPr>
            <w:tcW w:w="1502"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得分</w:t>
            </w:r>
          </w:p>
        </w:tc>
        <w:tc>
          <w:tcPr>
            <w:tcW w:w="1276"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7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2101"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52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45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502"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27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年度绩效指标完成情况</w:t>
            </w:r>
          </w:p>
        </w:tc>
        <w:tc>
          <w:tcPr>
            <w:tcW w:w="75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产出指标</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数量指标</w:t>
            </w:r>
          </w:p>
        </w:tc>
        <w:tc>
          <w:tcPr>
            <w:tcW w:w="210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发放（补助）人数（人次）</w:t>
            </w: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=134人</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134人</w:t>
            </w:r>
          </w:p>
        </w:tc>
        <w:tc>
          <w:tcPr>
            <w:tcW w:w="14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5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7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数量指标</w:t>
            </w:r>
          </w:p>
        </w:tc>
        <w:tc>
          <w:tcPr>
            <w:tcW w:w="210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发放（补助）次数</w:t>
            </w: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=12次</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12次</w:t>
            </w:r>
          </w:p>
        </w:tc>
        <w:tc>
          <w:tcPr>
            <w:tcW w:w="14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5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7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质量指标</w:t>
            </w:r>
          </w:p>
        </w:tc>
        <w:tc>
          <w:tcPr>
            <w:tcW w:w="210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人员伙食经费保障率</w:t>
            </w: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w:t>
            </w:r>
          </w:p>
        </w:tc>
        <w:tc>
          <w:tcPr>
            <w:tcW w:w="14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5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7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质量指标</w:t>
            </w:r>
          </w:p>
        </w:tc>
        <w:tc>
          <w:tcPr>
            <w:tcW w:w="210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工作完成合格率</w:t>
            </w: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w:t>
            </w:r>
          </w:p>
        </w:tc>
        <w:tc>
          <w:tcPr>
            <w:tcW w:w="14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5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7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时效指标</w:t>
            </w:r>
          </w:p>
        </w:tc>
        <w:tc>
          <w:tcPr>
            <w:tcW w:w="210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资金发放（补助）及时性</w:t>
            </w: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w:t>
            </w:r>
          </w:p>
        </w:tc>
        <w:tc>
          <w:tcPr>
            <w:tcW w:w="14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5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7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时效指标</w:t>
            </w:r>
          </w:p>
        </w:tc>
        <w:tc>
          <w:tcPr>
            <w:tcW w:w="210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项目完成时间</w:t>
            </w: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&lt;=2021年12月31日</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2021年12月31日</w:t>
            </w:r>
          </w:p>
        </w:tc>
        <w:tc>
          <w:tcPr>
            <w:tcW w:w="14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5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7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成本指标</w:t>
            </w:r>
          </w:p>
        </w:tc>
        <w:tc>
          <w:tcPr>
            <w:tcW w:w="210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每次发放（补助）资金数</w:t>
            </w: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&lt;=10.98万元</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11.4万元</w:t>
            </w:r>
          </w:p>
        </w:tc>
        <w:tc>
          <w:tcPr>
            <w:tcW w:w="14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w:t>
            </w:r>
          </w:p>
        </w:tc>
        <w:tc>
          <w:tcPr>
            <w:tcW w:w="15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7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成本指标</w:t>
            </w:r>
          </w:p>
        </w:tc>
        <w:tc>
          <w:tcPr>
            <w:tcW w:w="210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经费总数</w:t>
            </w: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&lt;=131.76万元</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137.87万元</w:t>
            </w:r>
          </w:p>
        </w:tc>
        <w:tc>
          <w:tcPr>
            <w:tcW w:w="14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w:t>
            </w:r>
          </w:p>
        </w:tc>
        <w:tc>
          <w:tcPr>
            <w:tcW w:w="15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75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效益指标</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经济效益指标</w:t>
            </w:r>
          </w:p>
        </w:tc>
        <w:tc>
          <w:tcPr>
            <w:tcW w:w="210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4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5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7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社会效益指标</w:t>
            </w:r>
          </w:p>
        </w:tc>
        <w:tc>
          <w:tcPr>
            <w:tcW w:w="210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保障我I区各单位 工作顺利开展</w:t>
            </w: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有效</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有效</w:t>
            </w:r>
          </w:p>
        </w:tc>
        <w:tc>
          <w:tcPr>
            <w:tcW w:w="14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15</w:t>
            </w:r>
          </w:p>
        </w:tc>
        <w:tc>
          <w:tcPr>
            <w:tcW w:w="15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15</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7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生态效益指标</w:t>
            </w:r>
          </w:p>
        </w:tc>
        <w:tc>
          <w:tcPr>
            <w:tcW w:w="210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4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5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7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可持续影响指标</w:t>
            </w:r>
          </w:p>
        </w:tc>
        <w:tc>
          <w:tcPr>
            <w:tcW w:w="210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为社区居民服务，维护社区稳定，持续解决所在辖区居民困难期限</w:t>
            </w: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&gt;=1年</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1年</w:t>
            </w:r>
          </w:p>
        </w:tc>
        <w:tc>
          <w:tcPr>
            <w:tcW w:w="14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15</w:t>
            </w:r>
          </w:p>
        </w:tc>
        <w:tc>
          <w:tcPr>
            <w:tcW w:w="15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15</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满意度指标</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满意度指标</w:t>
            </w:r>
          </w:p>
        </w:tc>
        <w:tc>
          <w:tcPr>
            <w:tcW w:w="210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受益人员满意度</w:t>
            </w: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&gt;=95%</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95%</w:t>
            </w:r>
          </w:p>
        </w:tc>
        <w:tc>
          <w:tcPr>
            <w:tcW w:w="14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w:t>
            </w:r>
          </w:p>
        </w:tc>
        <w:tc>
          <w:tcPr>
            <w:tcW w:w="15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6122"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总分</w:t>
            </w:r>
          </w:p>
        </w:tc>
        <w:tc>
          <w:tcPr>
            <w:tcW w:w="14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w:t>
            </w:r>
          </w:p>
        </w:tc>
        <w:tc>
          <w:tcPr>
            <w:tcW w:w="150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100分</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r>
    </w:tbl>
    <w:p>
      <w:pPr>
        <w:shd w:val="clear" w:color="auto" w:fill="FFFFFF"/>
        <w:spacing w:beforeLines="0" w:afterLines="0" w:line="360" w:lineRule="auto"/>
        <w:jc w:val="center"/>
        <w:rPr>
          <w:rFonts w:hint="eastAsia" w:ascii="仿宋_GB2312" w:hAnsi="仿宋_GB2312" w:eastAsia="仿宋_GB2312"/>
          <w:color w:val="auto"/>
          <w:kern w:val="0"/>
          <w:sz w:val="32"/>
          <w:szCs w:val="24"/>
          <w:lang w:val="en-US"/>
        </w:rPr>
      </w:pPr>
    </w:p>
    <w:tbl>
      <w:tblPr>
        <w:tblStyle w:val="2"/>
        <w:tblW w:w="99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42"/>
        <w:gridCol w:w="815"/>
        <w:gridCol w:w="1049"/>
        <w:gridCol w:w="1022"/>
        <w:gridCol w:w="807"/>
        <w:gridCol w:w="113"/>
        <w:gridCol w:w="846"/>
        <w:gridCol w:w="793"/>
        <w:gridCol w:w="651"/>
        <w:gridCol w:w="326"/>
        <w:gridCol w:w="860"/>
        <w:gridCol w:w="240"/>
        <w:gridCol w:w="700"/>
        <w:gridCol w:w="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9933" w:type="dxa"/>
            <w:gridSpan w:val="14"/>
            <w:tcBorders>
              <w:top w:val="nil"/>
              <w:left w:val="nil"/>
              <w:bottom w:val="nil"/>
              <w:right w:val="nil"/>
              <w:tl2br w:val="nil"/>
              <w:tr2bl w:val="nil"/>
            </w:tcBorders>
            <w:noWrap w:val="0"/>
            <w:vAlign w:val="center"/>
          </w:tcPr>
          <w:p>
            <w:pPr>
              <w:spacing w:beforeLines="0" w:afterLines="0"/>
              <w:jc w:val="center"/>
              <w:textAlignment w:val="center"/>
              <w:rPr>
                <w:rFonts w:hint="eastAsia" w:ascii="宋体" w:hAnsi="宋体"/>
                <w:b/>
                <w:color w:val="000000"/>
                <w:sz w:val="18"/>
                <w:szCs w:val="24"/>
              </w:rPr>
            </w:pPr>
            <w:r>
              <w:rPr>
                <w:rFonts w:hint="eastAsia" w:ascii="宋体" w:hAnsi="宋体"/>
                <w:b/>
                <w:color w:val="000000"/>
                <w:kern w:val="0"/>
                <w:sz w:val="18"/>
                <w:szCs w:val="24"/>
                <w:lang w:val="en-US" w:eastAsia="zh-CN"/>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9933" w:type="dxa"/>
            <w:gridSpan w:val="14"/>
            <w:tcBorders>
              <w:top w:val="nil"/>
              <w:left w:val="nil"/>
              <w:bottom w:val="nil"/>
              <w:right w:val="nil"/>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92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项目名称</w:t>
            </w:r>
          </w:p>
        </w:tc>
        <w:tc>
          <w:tcPr>
            <w:tcW w:w="8013"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非在编人员补助（公岗）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92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主管部门</w:t>
            </w:r>
          </w:p>
        </w:tc>
        <w:tc>
          <w:tcPr>
            <w:tcW w:w="372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乌鲁木齐高新技术产业开发区（乌鲁木齐市新市区）长春中路片区管理委员会</w:t>
            </w:r>
          </w:p>
        </w:tc>
        <w:tc>
          <w:tcPr>
            <w:tcW w:w="147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实施单位</w:t>
            </w:r>
          </w:p>
        </w:tc>
        <w:tc>
          <w:tcPr>
            <w:tcW w:w="282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乌鲁木齐高新技术产业开发区（乌鲁木齐市新市区）长春中路片区管理委员会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92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项目资金</w:t>
            </w:r>
            <w:r>
              <w:rPr>
                <w:rFonts w:hint="eastAsia" w:ascii="宋体" w:hAnsi="宋体"/>
                <w:color w:val="000000"/>
                <w:kern w:val="0"/>
                <w:sz w:val="18"/>
                <w:szCs w:val="24"/>
                <w:lang w:val="en-US" w:eastAsia="zh-CN"/>
              </w:rPr>
              <w:br w:type="textWrapping"/>
            </w:r>
            <w:r>
              <w:rPr>
                <w:rFonts w:hint="eastAsia" w:ascii="宋体" w:hAnsi="宋体"/>
                <w:color w:val="000000"/>
                <w:kern w:val="0"/>
                <w:sz w:val="18"/>
                <w:szCs w:val="24"/>
                <w:lang w:val="en-US" w:eastAsia="zh-CN"/>
              </w:rPr>
              <w:t>（万元）</w:t>
            </w: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年初预算数</w:t>
            </w:r>
          </w:p>
        </w:tc>
        <w:tc>
          <w:tcPr>
            <w:tcW w:w="7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全年预算数</w:t>
            </w:r>
          </w:p>
        </w:tc>
        <w:tc>
          <w:tcPr>
            <w:tcW w:w="147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全年执行数</w:t>
            </w:r>
          </w:p>
        </w:tc>
        <w:tc>
          <w:tcPr>
            <w:tcW w:w="12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分值</w:t>
            </w:r>
          </w:p>
        </w:tc>
        <w:tc>
          <w:tcPr>
            <w:tcW w:w="9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执行率</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92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年度资金总额</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239.40</w:t>
            </w:r>
          </w:p>
        </w:tc>
        <w:tc>
          <w:tcPr>
            <w:tcW w:w="7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219.62</w:t>
            </w:r>
          </w:p>
        </w:tc>
        <w:tc>
          <w:tcPr>
            <w:tcW w:w="147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219.62</w:t>
            </w:r>
          </w:p>
        </w:tc>
        <w:tc>
          <w:tcPr>
            <w:tcW w:w="12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w:t>
            </w:r>
          </w:p>
        </w:tc>
        <w:tc>
          <w:tcPr>
            <w:tcW w:w="9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100.00%</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92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其中：当年财政拨款</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239.4</w:t>
            </w:r>
          </w:p>
        </w:tc>
        <w:tc>
          <w:tcPr>
            <w:tcW w:w="7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219.62</w:t>
            </w:r>
          </w:p>
        </w:tc>
        <w:tc>
          <w:tcPr>
            <w:tcW w:w="147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219.62</w:t>
            </w:r>
          </w:p>
        </w:tc>
        <w:tc>
          <w:tcPr>
            <w:tcW w:w="12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c>
          <w:tcPr>
            <w:tcW w:w="9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92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 xml:space="preserve">      上年结转资金</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0</w:t>
            </w:r>
          </w:p>
        </w:tc>
        <w:tc>
          <w:tcPr>
            <w:tcW w:w="7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0</w:t>
            </w:r>
          </w:p>
        </w:tc>
        <w:tc>
          <w:tcPr>
            <w:tcW w:w="147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0</w:t>
            </w:r>
          </w:p>
        </w:tc>
        <w:tc>
          <w:tcPr>
            <w:tcW w:w="12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c>
          <w:tcPr>
            <w:tcW w:w="9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92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 xml:space="preserve">  其他资金</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0</w:t>
            </w:r>
          </w:p>
        </w:tc>
        <w:tc>
          <w:tcPr>
            <w:tcW w:w="7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0</w:t>
            </w:r>
          </w:p>
        </w:tc>
        <w:tc>
          <w:tcPr>
            <w:tcW w:w="147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0</w:t>
            </w:r>
          </w:p>
        </w:tc>
        <w:tc>
          <w:tcPr>
            <w:tcW w:w="12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c>
          <w:tcPr>
            <w:tcW w:w="9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年度总体目标</w:t>
            </w:r>
          </w:p>
        </w:tc>
        <w:tc>
          <w:tcPr>
            <w:tcW w:w="4560"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预期目标</w:t>
            </w:r>
          </w:p>
        </w:tc>
        <w:tc>
          <w:tcPr>
            <w:tcW w:w="4293"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4560"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以习近平新时代中国特色社会主义思想为指导，紧紧围绕社会稳定和长治久安的总目标，坚决贯彻落实自治区党委“1+3+3改革开放”工作部署和市委确定的“聚焦总目标”、抓好“三件大事”、建设“六个首府”总体思路及区委各项工作安排，以及推动“打、防、管、控、建”常态化的工作要求，统一思想认识，强化责任担当。</w:t>
            </w:r>
          </w:p>
        </w:tc>
        <w:tc>
          <w:tcPr>
            <w:tcW w:w="4293"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加强群治力量。最大限度调动群众参与工作的积极性和生动性。辖区现有安保人员共677人、十户联保共107组、联保长共107人、“双联户”长1257人、楼栋长共226人和2个单元长。强化重点场所管控。对辖区2个加油加气站、11个寄递物流企业、29个公交车站点、1个BRT车站、3个商超、6个幼儿园的人防、物防、技防落实情况进行全面排查，消除风险隐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84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一级指标</w:t>
            </w:r>
          </w:p>
        </w:tc>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二级指标</w:t>
            </w:r>
          </w:p>
        </w:tc>
        <w:tc>
          <w:tcPr>
            <w:tcW w:w="2010"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三级指标</w:t>
            </w:r>
          </w:p>
        </w:tc>
        <w:tc>
          <w:tcPr>
            <w:tcW w:w="63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年度指标值</w:t>
            </w:r>
          </w:p>
        </w:tc>
        <w:tc>
          <w:tcPr>
            <w:tcW w:w="7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实际完成值</w:t>
            </w:r>
          </w:p>
        </w:tc>
        <w:tc>
          <w:tcPr>
            <w:tcW w:w="1006"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分值</w:t>
            </w:r>
          </w:p>
        </w:tc>
        <w:tc>
          <w:tcPr>
            <w:tcW w:w="1126"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得分</w:t>
            </w:r>
          </w:p>
        </w:tc>
        <w:tc>
          <w:tcPr>
            <w:tcW w:w="1366"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2010"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6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7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0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12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36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年度绩效指标完成情况</w:t>
            </w:r>
          </w:p>
        </w:tc>
        <w:tc>
          <w:tcPr>
            <w:tcW w:w="84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产出指标</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数量指标</w:t>
            </w:r>
          </w:p>
        </w:tc>
        <w:tc>
          <w:tcPr>
            <w:tcW w:w="201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发放（补助）人数（人次）</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=133人</w:t>
            </w:r>
          </w:p>
        </w:tc>
        <w:tc>
          <w:tcPr>
            <w:tcW w:w="7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133人</w:t>
            </w:r>
          </w:p>
        </w:tc>
        <w:tc>
          <w:tcPr>
            <w:tcW w:w="100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0</w:t>
            </w:r>
          </w:p>
        </w:tc>
        <w:tc>
          <w:tcPr>
            <w:tcW w:w="112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0</w:t>
            </w:r>
          </w:p>
        </w:tc>
        <w:tc>
          <w:tcPr>
            <w:tcW w:w="13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数量指标</w:t>
            </w:r>
          </w:p>
        </w:tc>
        <w:tc>
          <w:tcPr>
            <w:tcW w:w="201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发放（补助）次数</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=12次</w:t>
            </w:r>
          </w:p>
        </w:tc>
        <w:tc>
          <w:tcPr>
            <w:tcW w:w="7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12次</w:t>
            </w:r>
          </w:p>
        </w:tc>
        <w:tc>
          <w:tcPr>
            <w:tcW w:w="100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0</w:t>
            </w:r>
          </w:p>
        </w:tc>
        <w:tc>
          <w:tcPr>
            <w:tcW w:w="112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0</w:t>
            </w:r>
          </w:p>
        </w:tc>
        <w:tc>
          <w:tcPr>
            <w:tcW w:w="13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质量指标</w:t>
            </w:r>
          </w:p>
        </w:tc>
        <w:tc>
          <w:tcPr>
            <w:tcW w:w="201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人员伙食经费保障率</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w:t>
            </w:r>
          </w:p>
        </w:tc>
        <w:tc>
          <w:tcPr>
            <w:tcW w:w="7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w:t>
            </w:r>
          </w:p>
        </w:tc>
        <w:tc>
          <w:tcPr>
            <w:tcW w:w="100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0</w:t>
            </w:r>
          </w:p>
        </w:tc>
        <w:tc>
          <w:tcPr>
            <w:tcW w:w="112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0</w:t>
            </w:r>
          </w:p>
        </w:tc>
        <w:tc>
          <w:tcPr>
            <w:tcW w:w="13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质量指标</w:t>
            </w:r>
          </w:p>
        </w:tc>
        <w:tc>
          <w:tcPr>
            <w:tcW w:w="201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工作完成合格率</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w:t>
            </w:r>
          </w:p>
        </w:tc>
        <w:tc>
          <w:tcPr>
            <w:tcW w:w="7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w:t>
            </w:r>
          </w:p>
        </w:tc>
        <w:tc>
          <w:tcPr>
            <w:tcW w:w="100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w:t>
            </w:r>
          </w:p>
        </w:tc>
        <w:tc>
          <w:tcPr>
            <w:tcW w:w="112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w:t>
            </w:r>
          </w:p>
        </w:tc>
        <w:tc>
          <w:tcPr>
            <w:tcW w:w="13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时效指标</w:t>
            </w:r>
          </w:p>
        </w:tc>
        <w:tc>
          <w:tcPr>
            <w:tcW w:w="201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资金发放（补助）及时性</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w:t>
            </w:r>
          </w:p>
        </w:tc>
        <w:tc>
          <w:tcPr>
            <w:tcW w:w="7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w:t>
            </w:r>
          </w:p>
        </w:tc>
        <w:tc>
          <w:tcPr>
            <w:tcW w:w="100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w:t>
            </w:r>
          </w:p>
        </w:tc>
        <w:tc>
          <w:tcPr>
            <w:tcW w:w="112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w:t>
            </w:r>
          </w:p>
        </w:tc>
        <w:tc>
          <w:tcPr>
            <w:tcW w:w="13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时效指标</w:t>
            </w:r>
          </w:p>
        </w:tc>
        <w:tc>
          <w:tcPr>
            <w:tcW w:w="201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项目完成时间</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&lt;=2021年12月31日</w:t>
            </w:r>
          </w:p>
        </w:tc>
        <w:tc>
          <w:tcPr>
            <w:tcW w:w="7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2021年12月31日</w:t>
            </w:r>
          </w:p>
        </w:tc>
        <w:tc>
          <w:tcPr>
            <w:tcW w:w="100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w:t>
            </w:r>
          </w:p>
        </w:tc>
        <w:tc>
          <w:tcPr>
            <w:tcW w:w="112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w:t>
            </w:r>
          </w:p>
        </w:tc>
        <w:tc>
          <w:tcPr>
            <w:tcW w:w="13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成本指标</w:t>
            </w:r>
          </w:p>
        </w:tc>
        <w:tc>
          <w:tcPr>
            <w:tcW w:w="201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每次发放（补助）资金数</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&lt;=19.95万元</w:t>
            </w:r>
          </w:p>
        </w:tc>
        <w:tc>
          <w:tcPr>
            <w:tcW w:w="7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18.3万元</w:t>
            </w:r>
          </w:p>
        </w:tc>
        <w:tc>
          <w:tcPr>
            <w:tcW w:w="100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w:t>
            </w:r>
          </w:p>
        </w:tc>
        <w:tc>
          <w:tcPr>
            <w:tcW w:w="112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9.17</w:t>
            </w:r>
          </w:p>
        </w:tc>
        <w:tc>
          <w:tcPr>
            <w:tcW w:w="13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成本指标</w:t>
            </w:r>
          </w:p>
        </w:tc>
        <w:tc>
          <w:tcPr>
            <w:tcW w:w="201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经费总数</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&lt;=239.4万元</w:t>
            </w:r>
          </w:p>
        </w:tc>
        <w:tc>
          <w:tcPr>
            <w:tcW w:w="7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219.62万元</w:t>
            </w:r>
          </w:p>
        </w:tc>
        <w:tc>
          <w:tcPr>
            <w:tcW w:w="100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w:t>
            </w:r>
          </w:p>
        </w:tc>
        <w:tc>
          <w:tcPr>
            <w:tcW w:w="112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9.17</w:t>
            </w:r>
          </w:p>
        </w:tc>
        <w:tc>
          <w:tcPr>
            <w:tcW w:w="13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84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效益指标</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经济效益指标</w:t>
            </w:r>
          </w:p>
        </w:tc>
        <w:tc>
          <w:tcPr>
            <w:tcW w:w="201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7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0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12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3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社会效益指标</w:t>
            </w:r>
          </w:p>
        </w:tc>
        <w:tc>
          <w:tcPr>
            <w:tcW w:w="201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保障我I区各单位 工作顺利开展</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有效</w:t>
            </w:r>
          </w:p>
        </w:tc>
        <w:tc>
          <w:tcPr>
            <w:tcW w:w="7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有效</w:t>
            </w:r>
          </w:p>
        </w:tc>
        <w:tc>
          <w:tcPr>
            <w:tcW w:w="100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15</w:t>
            </w:r>
          </w:p>
        </w:tc>
        <w:tc>
          <w:tcPr>
            <w:tcW w:w="112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15</w:t>
            </w:r>
          </w:p>
        </w:tc>
        <w:tc>
          <w:tcPr>
            <w:tcW w:w="13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生态效益指标</w:t>
            </w:r>
          </w:p>
        </w:tc>
        <w:tc>
          <w:tcPr>
            <w:tcW w:w="201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7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0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12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3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可持续影响指标</w:t>
            </w:r>
          </w:p>
        </w:tc>
        <w:tc>
          <w:tcPr>
            <w:tcW w:w="201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为社区居民服务，维护社区稳定，持续解决所在辖区居民困难期限</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&gt;=1年</w:t>
            </w:r>
          </w:p>
        </w:tc>
        <w:tc>
          <w:tcPr>
            <w:tcW w:w="7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1年</w:t>
            </w:r>
          </w:p>
        </w:tc>
        <w:tc>
          <w:tcPr>
            <w:tcW w:w="100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15</w:t>
            </w:r>
          </w:p>
        </w:tc>
        <w:tc>
          <w:tcPr>
            <w:tcW w:w="112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15</w:t>
            </w:r>
          </w:p>
        </w:tc>
        <w:tc>
          <w:tcPr>
            <w:tcW w:w="13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满意度指标</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满意度指标</w:t>
            </w:r>
          </w:p>
        </w:tc>
        <w:tc>
          <w:tcPr>
            <w:tcW w:w="201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受益人员满意度</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&gt;=95%</w:t>
            </w:r>
          </w:p>
        </w:tc>
        <w:tc>
          <w:tcPr>
            <w:tcW w:w="7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95%</w:t>
            </w:r>
          </w:p>
        </w:tc>
        <w:tc>
          <w:tcPr>
            <w:tcW w:w="100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w:t>
            </w:r>
          </w:p>
        </w:tc>
        <w:tc>
          <w:tcPr>
            <w:tcW w:w="112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w:t>
            </w:r>
          </w:p>
        </w:tc>
        <w:tc>
          <w:tcPr>
            <w:tcW w:w="13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6435"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总分</w:t>
            </w:r>
          </w:p>
        </w:tc>
        <w:tc>
          <w:tcPr>
            <w:tcW w:w="100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w:t>
            </w:r>
          </w:p>
        </w:tc>
        <w:tc>
          <w:tcPr>
            <w:tcW w:w="112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98.34分</w:t>
            </w:r>
          </w:p>
        </w:tc>
        <w:tc>
          <w:tcPr>
            <w:tcW w:w="13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r>
    </w:tbl>
    <w:p>
      <w:pPr>
        <w:shd w:val="clear" w:color="auto" w:fill="FFFFFF"/>
        <w:spacing w:beforeLines="0" w:afterLines="0" w:line="360" w:lineRule="auto"/>
        <w:jc w:val="center"/>
        <w:rPr>
          <w:rFonts w:hint="eastAsia" w:ascii="仿宋_GB2312" w:hAnsi="仿宋_GB2312" w:eastAsia="仿宋_GB2312"/>
          <w:color w:val="auto"/>
          <w:kern w:val="0"/>
          <w:sz w:val="32"/>
          <w:szCs w:val="24"/>
          <w:lang w:val="en-US"/>
        </w:rPr>
      </w:pPr>
    </w:p>
    <w:tbl>
      <w:tblPr>
        <w:tblStyle w:val="2"/>
        <w:tblW w:w="100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69"/>
        <w:gridCol w:w="1069"/>
        <w:gridCol w:w="1071"/>
        <w:gridCol w:w="1064"/>
        <w:gridCol w:w="666"/>
        <w:gridCol w:w="74"/>
        <w:gridCol w:w="666"/>
        <w:gridCol w:w="586"/>
        <w:gridCol w:w="668"/>
        <w:gridCol w:w="639"/>
        <w:gridCol w:w="876"/>
        <w:gridCol w:w="372"/>
        <w:gridCol w:w="495"/>
        <w:gridCol w:w="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10008" w:type="dxa"/>
            <w:gridSpan w:val="14"/>
            <w:tcBorders>
              <w:top w:val="nil"/>
              <w:left w:val="nil"/>
              <w:bottom w:val="nil"/>
              <w:right w:val="nil"/>
              <w:tl2br w:val="nil"/>
              <w:tr2bl w:val="nil"/>
            </w:tcBorders>
            <w:noWrap w:val="0"/>
            <w:vAlign w:val="center"/>
          </w:tcPr>
          <w:p>
            <w:pPr>
              <w:spacing w:beforeLines="0" w:afterLines="0"/>
              <w:jc w:val="center"/>
              <w:textAlignment w:val="center"/>
              <w:rPr>
                <w:rFonts w:hint="eastAsia" w:ascii="宋体" w:hAnsi="宋体"/>
                <w:b/>
                <w:color w:val="000000"/>
                <w:sz w:val="18"/>
                <w:szCs w:val="24"/>
              </w:rPr>
            </w:pPr>
            <w:r>
              <w:rPr>
                <w:rFonts w:hint="eastAsia" w:ascii="宋体" w:hAnsi="宋体"/>
                <w:b/>
                <w:color w:val="000000"/>
                <w:kern w:val="0"/>
                <w:sz w:val="18"/>
                <w:szCs w:val="24"/>
                <w:lang w:val="en-US" w:eastAsia="zh-CN"/>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10008" w:type="dxa"/>
            <w:gridSpan w:val="14"/>
            <w:tcBorders>
              <w:top w:val="nil"/>
              <w:left w:val="nil"/>
              <w:bottom w:val="nil"/>
              <w:right w:val="nil"/>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项目名称</w:t>
            </w:r>
          </w:p>
        </w:tc>
        <w:tc>
          <w:tcPr>
            <w:tcW w:w="7848"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创城工作经费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主管部门</w:t>
            </w:r>
          </w:p>
        </w:tc>
        <w:tc>
          <w:tcPr>
            <w:tcW w:w="354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乌鲁木齐高新技术产业开发区（乌鲁木齐市新市区）长春中路片区管理委员会</w:t>
            </w:r>
          </w:p>
        </w:tc>
        <w:tc>
          <w:tcPr>
            <w:tcW w:w="12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实施单位</w:t>
            </w:r>
          </w:p>
        </w:tc>
        <w:tc>
          <w:tcPr>
            <w:tcW w:w="304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乌鲁木齐高新技术产业开发区（乌鲁木齐市新市区）长春中路片区管理委员会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216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项目资金</w:t>
            </w:r>
            <w:r>
              <w:rPr>
                <w:rFonts w:hint="eastAsia" w:ascii="宋体" w:hAnsi="宋体"/>
                <w:color w:val="000000"/>
                <w:kern w:val="0"/>
                <w:sz w:val="18"/>
                <w:szCs w:val="24"/>
                <w:lang w:val="en-US" w:eastAsia="zh-CN"/>
              </w:rPr>
              <w:br w:type="textWrapping"/>
            </w:r>
            <w:r>
              <w:rPr>
                <w:rFonts w:hint="eastAsia" w:ascii="宋体" w:hAnsi="宋体"/>
                <w:color w:val="000000"/>
                <w:kern w:val="0"/>
                <w:sz w:val="18"/>
                <w:szCs w:val="24"/>
                <w:lang w:val="en-US" w:eastAsia="zh-CN"/>
              </w:rPr>
              <w:t>（万元）</w:t>
            </w: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年初预算数</w:t>
            </w:r>
          </w:p>
        </w:tc>
        <w:tc>
          <w:tcPr>
            <w:tcW w:w="7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全年预算数</w:t>
            </w:r>
          </w:p>
        </w:tc>
        <w:tc>
          <w:tcPr>
            <w:tcW w:w="12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全年执行数</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分值</w:t>
            </w:r>
          </w:p>
        </w:tc>
        <w:tc>
          <w:tcPr>
            <w:tcW w:w="8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执行率</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16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年度资金总额</w:t>
            </w:r>
          </w:p>
        </w:tc>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11.00</w:t>
            </w:r>
          </w:p>
        </w:tc>
        <w:tc>
          <w:tcPr>
            <w:tcW w:w="7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11.00</w:t>
            </w:r>
          </w:p>
        </w:tc>
        <w:tc>
          <w:tcPr>
            <w:tcW w:w="12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11.00</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w:t>
            </w:r>
          </w:p>
        </w:tc>
        <w:tc>
          <w:tcPr>
            <w:tcW w:w="8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100.00%</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16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其中：当年财政拨款</w:t>
            </w:r>
          </w:p>
        </w:tc>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11</w:t>
            </w:r>
          </w:p>
        </w:tc>
        <w:tc>
          <w:tcPr>
            <w:tcW w:w="7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11</w:t>
            </w:r>
          </w:p>
        </w:tc>
        <w:tc>
          <w:tcPr>
            <w:tcW w:w="12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11</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c>
          <w:tcPr>
            <w:tcW w:w="8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16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 xml:space="preserve">      上年结转资金</w:t>
            </w:r>
          </w:p>
        </w:tc>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0</w:t>
            </w:r>
          </w:p>
        </w:tc>
        <w:tc>
          <w:tcPr>
            <w:tcW w:w="7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0</w:t>
            </w:r>
          </w:p>
        </w:tc>
        <w:tc>
          <w:tcPr>
            <w:tcW w:w="12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0</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c>
          <w:tcPr>
            <w:tcW w:w="8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16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 xml:space="preserve">  其他资金</w:t>
            </w:r>
          </w:p>
        </w:tc>
        <w:tc>
          <w:tcPr>
            <w:tcW w:w="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0</w:t>
            </w:r>
          </w:p>
        </w:tc>
        <w:tc>
          <w:tcPr>
            <w:tcW w:w="7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0</w:t>
            </w:r>
          </w:p>
        </w:tc>
        <w:tc>
          <w:tcPr>
            <w:tcW w:w="12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0</w:t>
            </w:r>
          </w:p>
        </w:tc>
        <w:tc>
          <w:tcPr>
            <w:tcW w:w="15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c>
          <w:tcPr>
            <w:tcW w:w="8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年度总体目标</w:t>
            </w:r>
          </w:p>
        </w:tc>
        <w:tc>
          <w:tcPr>
            <w:tcW w:w="4620"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预期目标</w:t>
            </w:r>
          </w:p>
        </w:tc>
        <w:tc>
          <w:tcPr>
            <w:tcW w:w="4308"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4620"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以习近平新时代中国特色社会主义思想为指导，紧紧围绕社会稳定和长治久安的总目标，坚决贯彻落实自治区党委“1+3+3改革开放”工作部署和市委确定的“聚焦总目标”、抓好“三件大事”、建设“六个首府”总体思路及区委各项工作安排，以及推动“打、防、管、控、建”常态化的工作要求，统一思想认识，强化责任担当。</w:t>
            </w:r>
          </w:p>
        </w:tc>
        <w:tc>
          <w:tcPr>
            <w:tcW w:w="4308"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片区及社区共成立检查小组11组出动240人次共发现问题隐患796条，已整改隐患777条，限期整改隐患19条。</w:t>
            </w:r>
            <w:r>
              <w:rPr>
                <w:rFonts w:hint="eastAsia" w:ascii="宋体" w:hAnsi="宋体"/>
                <w:color w:val="000000"/>
                <w:kern w:val="0"/>
                <w:sz w:val="18"/>
                <w:szCs w:val="24"/>
                <w:lang w:val="en-US" w:eastAsia="zh-CN"/>
              </w:rPr>
              <w:br w:type="textWrapping"/>
            </w:r>
            <w:r>
              <w:rPr>
                <w:rFonts w:hint="eastAsia" w:ascii="宋体" w:hAnsi="宋体"/>
                <w:color w:val="000000"/>
                <w:kern w:val="0"/>
                <w:sz w:val="18"/>
                <w:szCs w:val="24"/>
                <w:lang w:val="en-US" w:eastAsia="zh-CN"/>
              </w:rPr>
              <w:t>成立环境卫生整治领导小组，制定下发集中整治方案，组织开展市容环境大整治。累计参与人数9000余人次，居民小区参与个数33个，沿街单位、商户参与600余家；对辖区5个施工工地开展扬尘污染检查，严格落实各项抑尘措施，发现扬尘问题，均已责令要求现场整改；推进生活垃圾分类工作，目前各小区、单位共配置分类垃圾桶1500余个，已安装18座垃圾分类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一级指标</w:t>
            </w:r>
          </w:p>
        </w:tc>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二级指标</w:t>
            </w:r>
          </w:p>
        </w:tc>
        <w:tc>
          <w:tcPr>
            <w:tcW w:w="1800"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三级指标</w:t>
            </w:r>
          </w:p>
        </w:tc>
        <w:tc>
          <w:tcPr>
            <w:tcW w:w="6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年度指标值</w:t>
            </w:r>
          </w:p>
        </w:tc>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实际完成值</w:t>
            </w:r>
          </w:p>
        </w:tc>
        <w:tc>
          <w:tcPr>
            <w:tcW w:w="1321"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分值</w:t>
            </w:r>
          </w:p>
        </w:tc>
        <w:tc>
          <w:tcPr>
            <w:tcW w:w="1216"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得分</w:t>
            </w:r>
          </w:p>
        </w:tc>
        <w:tc>
          <w:tcPr>
            <w:tcW w:w="1185"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800"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6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32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21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18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年度绩效指标完成情况</w:t>
            </w:r>
          </w:p>
        </w:tc>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产出指标</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数量指标</w:t>
            </w:r>
          </w:p>
        </w:tc>
        <w:tc>
          <w:tcPr>
            <w:tcW w:w="180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覆盖社区数量（个）</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=10个</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10个</w:t>
            </w:r>
          </w:p>
        </w:tc>
        <w:tc>
          <w:tcPr>
            <w:tcW w:w="132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2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1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数量指标</w:t>
            </w:r>
          </w:p>
        </w:tc>
        <w:tc>
          <w:tcPr>
            <w:tcW w:w="180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覆盖片区数量（个）</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=1个</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1个</w:t>
            </w:r>
          </w:p>
        </w:tc>
        <w:tc>
          <w:tcPr>
            <w:tcW w:w="132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2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1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质量指标</w:t>
            </w:r>
          </w:p>
        </w:tc>
        <w:tc>
          <w:tcPr>
            <w:tcW w:w="180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经费足额拨付率</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w:t>
            </w:r>
          </w:p>
        </w:tc>
        <w:tc>
          <w:tcPr>
            <w:tcW w:w="132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5.5</w:t>
            </w:r>
          </w:p>
        </w:tc>
        <w:tc>
          <w:tcPr>
            <w:tcW w:w="12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5.5</w:t>
            </w:r>
          </w:p>
        </w:tc>
        <w:tc>
          <w:tcPr>
            <w:tcW w:w="11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质量指标</w:t>
            </w:r>
          </w:p>
        </w:tc>
        <w:tc>
          <w:tcPr>
            <w:tcW w:w="180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项目完成率</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w:t>
            </w:r>
          </w:p>
        </w:tc>
        <w:tc>
          <w:tcPr>
            <w:tcW w:w="132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5.5</w:t>
            </w:r>
          </w:p>
        </w:tc>
        <w:tc>
          <w:tcPr>
            <w:tcW w:w="12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5.5</w:t>
            </w:r>
          </w:p>
        </w:tc>
        <w:tc>
          <w:tcPr>
            <w:tcW w:w="11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时效指标</w:t>
            </w:r>
          </w:p>
        </w:tc>
        <w:tc>
          <w:tcPr>
            <w:tcW w:w="180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经费按时发放率</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w:t>
            </w:r>
          </w:p>
        </w:tc>
        <w:tc>
          <w:tcPr>
            <w:tcW w:w="132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2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1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时效指标</w:t>
            </w:r>
          </w:p>
        </w:tc>
        <w:tc>
          <w:tcPr>
            <w:tcW w:w="180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项目完成时限</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&lt;=12个月</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12个月</w:t>
            </w:r>
          </w:p>
        </w:tc>
        <w:tc>
          <w:tcPr>
            <w:tcW w:w="132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2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1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成本指标</w:t>
            </w:r>
          </w:p>
        </w:tc>
        <w:tc>
          <w:tcPr>
            <w:tcW w:w="180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经费标准（万/个）</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=1万元</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1万元</w:t>
            </w:r>
          </w:p>
        </w:tc>
        <w:tc>
          <w:tcPr>
            <w:tcW w:w="132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2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1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成本指标</w:t>
            </w:r>
          </w:p>
        </w:tc>
        <w:tc>
          <w:tcPr>
            <w:tcW w:w="180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经费总成本（万元）</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&lt;=11万元</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11万元</w:t>
            </w:r>
          </w:p>
        </w:tc>
        <w:tc>
          <w:tcPr>
            <w:tcW w:w="132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2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1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成本指标</w:t>
            </w:r>
          </w:p>
        </w:tc>
        <w:tc>
          <w:tcPr>
            <w:tcW w:w="180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预算控制率</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&lt;=95%</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95%</w:t>
            </w:r>
          </w:p>
        </w:tc>
        <w:tc>
          <w:tcPr>
            <w:tcW w:w="132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9</w:t>
            </w:r>
          </w:p>
        </w:tc>
        <w:tc>
          <w:tcPr>
            <w:tcW w:w="12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9</w:t>
            </w:r>
          </w:p>
        </w:tc>
        <w:tc>
          <w:tcPr>
            <w:tcW w:w="11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效益指标</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经济效益指标</w:t>
            </w:r>
          </w:p>
        </w:tc>
        <w:tc>
          <w:tcPr>
            <w:tcW w:w="180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32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2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1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社会效益指标</w:t>
            </w:r>
          </w:p>
        </w:tc>
        <w:tc>
          <w:tcPr>
            <w:tcW w:w="180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持续维护辖区治安稳定，服务辖区群众</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有效</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有效</w:t>
            </w:r>
          </w:p>
        </w:tc>
        <w:tc>
          <w:tcPr>
            <w:tcW w:w="132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15</w:t>
            </w:r>
          </w:p>
        </w:tc>
        <w:tc>
          <w:tcPr>
            <w:tcW w:w="12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14.25</w:t>
            </w:r>
          </w:p>
        </w:tc>
        <w:tc>
          <w:tcPr>
            <w:tcW w:w="11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生态效益指标</w:t>
            </w:r>
          </w:p>
        </w:tc>
        <w:tc>
          <w:tcPr>
            <w:tcW w:w="180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32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2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1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可持续影响指标</w:t>
            </w:r>
          </w:p>
        </w:tc>
        <w:tc>
          <w:tcPr>
            <w:tcW w:w="180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项目持续发挥效益年限</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&gt;=1年</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1年</w:t>
            </w:r>
          </w:p>
        </w:tc>
        <w:tc>
          <w:tcPr>
            <w:tcW w:w="132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15</w:t>
            </w:r>
          </w:p>
        </w:tc>
        <w:tc>
          <w:tcPr>
            <w:tcW w:w="12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15</w:t>
            </w:r>
          </w:p>
        </w:tc>
        <w:tc>
          <w:tcPr>
            <w:tcW w:w="11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满意度指标</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满意度指标</w:t>
            </w:r>
          </w:p>
        </w:tc>
        <w:tc>
          <w:tcPr>
            <w:tcW w:w="180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辖区居民满意度</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&gt;=95%</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95%</w:t>
            </w:r>
          </w:p>
        </w:tc>
        <w:tc>
          <w:tcPr>
            <w:tcW w:w="132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2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4.9</w:t>
            </w:r>
          </w:p>
        </w:tc>
        <w:tc>
          <w:tcPr>
            <w:tcW w:w="11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满意度指标</w:t>
            </w:r>
          </w:p>
        </w:tc>
        <w:tc>
          <w:tcPr>
            <w:tcW w:w="180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社区工作人员满意度</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&gt;=95%</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95%</w:t>
            </w:r>
          </w:p>
        </w:tc>
        <w:tc>
          <w:tcPr>
            <w:tcW w:w="132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2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4.9</w:t>
            </w:r>
          </w:p>
        </w:tc>
        <w:tc>
          <w:tcPr>
            <w:tcW w:w="11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6286"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总分</w:t>
            </w:r>
          </w:p>
        </w:tc>
        <w:tc>
          <w:tcPr>
            <w:tcW w:w="132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w:t>
            </w:r>
          </w:p>
        </w:tc>
        <w:tc>
          <w:tcPr>
            <w:tcW w:w="12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99.05分</w:t>
            </w:r>
          </w:p>
        </w:tc>
        <w:tc>
          <w:tcPr>
            <w:tcW w:w="11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r>
    </w:tbl>
    <w:p>
      <w:pPr>
        <w:shd w:val="clear" w:color="auto" w:fill="FFFFFF"/>
        <w:spacing w:beforeLines="0" w:afterLines="0" w:line="360" w:lineRule="auto"/>
        <w:jc w:val="center"/>
        <w:rPr>
          <w:rFonts w:hint="eastAsia" w:ascii="仿宋_GB2312" w:hAnsi="仿宋_GB2312" w:eastAsia="仿宋_GB2312"/>
          <w:color w:val="auto"/>
          <w:kern w:val="0"/>
          <w:sz w:val="32"/>
          <w:szCs w:val="24"/>
          <w:lang w:val="en-US"/>
        </w:rPr>
      </w:pPr>
    </w:p>
    <w:tbl>
      <w:tblPr>
        <w:tblStyle w:val="2"/>
        <w:tblW w:w="98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14"/>
        <w:gridCol w:w="1014"/>
        <w:gridCol w:w="1026"/>
        <w:gridCol w:w="981"/>
        <w:gridCol w:w="967"/>
        <w:gridCol w:w="846"/>
        <w:gridCol w:w="756"/>
        <w:gridCol w:w="642"/>
        <w:gridCol w:w="165"/>
        <w:gridCol w:w="239"/>
        <w:gridCol w:w="606"/>
        <w:gridCol w:w="670"/>
        <w:gridCol w:w="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9846" w:type="dxa"/>
            <w:gridSpan w:val="13"/>
            <w:tcBorders>
              <w:top w:val="nil"/>
              <w:left w:val="nil"/>
              <w:bottom w:val="nil"/>
              <w:right w:val="nil"/>
              <w:tl2br w:val="nil"/>
              <w:tr2bl w:val="nil"/>
            </w:tcBorders>
            <w:noWrap w:val="0"/>
            <w:vAlign w:val="center"/>
          </w:tcPr>
          <w:p>
            <w:pPr>
              <w:spacing w:beforeLines="0" w:afterLines="0"/>
              <w:jc w:val="center"/>
              <w:textAlignment w:val="center"/>
              <w:rPr>
                <w:rFonts w:hint="eastAsia" w:ascii="宋体" w:hAnsi="宋体"/>
                <w:b/>
                <w:color w:val="000000"/>
                <w:sz w:val="18"/>
                <w:szCs w:val="24"/>
              </w:rPr>
            </w:pPr>
            <w:r>
              <w:rPr>
                <w:rFonts w:hint="eastAsia" w:ascii="宋体" w:hAnsi="宋体"/>
                <w:b/>
                <w:color w:val="000000"/>
                <w:kern w:val="0"/>
                <w:sz w:val="18"/>
                <w:szCs w:val="24"/>
                <w:lang w:val="en-US" w:eastAsia="zh-CN"/>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9846" w:type="dxa"/>
            <w:gridSpan w:val="13"/>
            <w:tcBorders>
              <w:top w:val="nil"/>
              <w:left w:val="nil"/>
              <w:bottom w:val="nil"/>
              <w:right w:val="nil"/>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0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项目名称</w:t>
            </w:r>
          </w:p>
        </w:tc>
        <w:tc>
          <w:tcPr>
            <w:tcW w:w="7818"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便民服务站餐费及运行经费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0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主管部门</w:t>
            </w:r>
          </w:p>
        </w:tc>
        <w:tc>
          <w:tcPr>
            <w:tcW w:w="38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乌鲁木齐高新技术产业开发区（乌鲁木齐市新市区）长春中路片区管理委员会</w:t>
            </w:r>
          </w:p>
        </w:tc>
        <w:tc>
          <w:tcPr>
            <w:tcW w:w="13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实施单位</w:t>
            </w:r>
          </w:p>
        </w:tc>
        <w:tc>
          <w:tcPr>
            <w:tcW w:w="260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乌鲁木齐高新技术产业开发区（乌鲁木齐市新市区）长春中路片区管理委员会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028"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项目资金</w:t>
            </w:r>
            <w:r>
              <w:rPr>
                <w:rFonts w:hint="eastAsia" w:ascii="宋体" w:hAnsi="宋体"/>
                <w:color w:val="000000"/>
                <w:kern w:val="0"/>
                <w:sz w:val="18"/>
                <w:szCs w:val="24"/>
                <w:lang w:val="en-US" w:eastAsia="zh-CN"/>
              </w:rPr>
              <w:br w:type="textWrapping"/>
            </w:r>
            <w:r>
              <w:rPr>
                <w:rFonts w:hint="eastAsia" w:ascii="宋体" w:hAnsi="宋体"/>
                <w:color w:val="000000"/>
                <w:kern w:val="0"/>
                <w:sz w:val="18"/>
                <w:szCs w:val="24"/>
                <w:lang w:val="en-US" w:eastAsia="zh-CN"/>
              </w:rPr>
              <w:t>（万元）</w:t>
            </w:r>
          </w:p>
        </w:tc>
        <w:tc>
          <w:tcPr>
            <w:tcW w:w="200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9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年初预算数</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全年预算数</w:t>
            </w:r>
          </w:p>
        </w:tc>
        <w:tc>
          <w:tcPr>
            <w:tcW w:w="13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全年执行数</w:t>
            </w:r>
          </w:p>
        </w:tc>
        <w:tc>
          <w:tcPr>
            <w:tcW w:w="40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分值</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执行率</w:t>
            </w:r>
          </w:p>
        </w:tc>
        <w:tc>
          <w:tcPr>
            <w:tcW w:w="9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02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200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年度资金总额</w:t>
            </w:r>
          </w:p>
        </w:tc>
        <w:tc>
          <w:tcPr>
            <w:tcW w:w="9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220.00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185.33</w:t>
            </w:r>
          </w:p>
        </w:tc>
        <w:tc>
          <w:tcPr>
            <w:tcW w:w="13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185.33</w:t>
            </w:r>
          </w:p>
        </w:tc>
        <w:tc>
          <w:tcPr>
            <w:tcW w:w="40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100.00%</w:t>
            </w:r>
          </w:p>
        </w:tc>
        <w:tc>
          <w:tcPr>
            <w:tcW w:w="9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02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200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其中：当年财政拨款</w:t>
            </w:r>
          </w:p>
        </w:tc>
        <w:tc>
          <w:tcPr>
            <w:tcW w:w="9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220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185.33</w:t>
            </w:r>
          </w:p>
        </w:tc>
        <w:tc>
          <w:tcPr>
            <w:tcW w:w="13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185.33</w:t>
            </w:r>
          </w:p>
        </w:tc>
        <w:tc>
          <w:tcPr>
            <w:tcW w:w="40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c>
          <w:tcPr>
            <w:tcW w:w="9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02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200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 xml:space="preserve">      上年结转资金</w:t>
            </w:r>
          </w:p>
        </w:tc>
        <w:tc>
          <w:tcPr>
            <w:tcW w:w="9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0</w:t>
            </w:r>
          </w:p>
        </w:tc>
        <w:tc>
          <w:tcPr>
            <w:tcW w:w="13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0</w:t>
            </w:r>
          </w:p>
        </w:tc>
        <w:tc>
          <w:tcPr>
            <w:tcW w:w="40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c>
          <w:tcPr>
            <w:tcW w:w="9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02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200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 xml:space="preserve">  其他资金</w:t>
            </w:r>
          </w:p>
        </w:tc>
        <w:tc>
          <w:tcPr>
            <w:tcW w:w="9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0</w:t>
            </w:r>
          </w:p>
        </w:tc>
        <w:tc>
          <w:tcPr>
            <w:tcW w:w="13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0</w:t>
            </w:r>
          </w:p>
        </w:tc>
        <w:tc>
          <w:tcPr>
            <w:tcW w:w="40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c>
          <w:tcPr>
            <w:tcW w:w="12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c>
          <w:tcPr>
            <w:tcW w:w="9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1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年度总体目标</w:t>
            </w:r>
          </w:p>
        </w:tc>
        <w:tc>
          <w:tcPr>
            <w:tcW w:w="483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预期目标</w:t>
            </w:r>
          </w:p>
        </w:tc>
        <w:tc>
          <w:tcPr>
            <w:tcW w:w="3998"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jc w:val="center"/>
        </w:trPr>
        <w:tc>
          <w:tcPr>
            <w:tcW w:w="101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483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br w:type="textWrapping"/>
            </w:r>
            <w:r>
              <w:rPr>
                <w:rFonts w:hint="eastAsia" w:ascii="宋体" w:hAnsi="宋体"/>
                <w:color w:val="000000"/>
                <w:kern w:val="0"/>
                <w:sz w:val="18"/>
                <w:szCs w:val="24"/>
                <w:lang w:val="en-US" w:eastAsia="zh-CN"/>
              </w:rPr>
              <w:t>以习近平新时代中国特色社会主义思想为指导，紧紧围绕社会稳定和长治久安的总目标，坚决贯彻落实自治区党委“1+3+3改革开放”工作部署和市委确定的“聚焦总目标”、抓好“三件大事”、建设“六个首府”总体思路及区委各项工作安排，以及推动“打、防、管、控、建”常态化的工作要求，统一思想认识，强化责任担当。保证辖区全部警务站正常运转运行，提高基层各族党员干部职工增进民族团结和维护社会稳定意识。确保辖区警务站工作人员用餐送达及时，营养、口味符合标准，按时用餐保证人员工作效率提高。</w:t>
            </w:r>
          </w:p>
        </w:tc>
        <w:tc>
          <w:tcPr>
            <w:tcW w:w="3998"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依托11个便民警务站建设1分钟快速响应社会面防控网，充分发挥“三张网”作用，实现网格自身内部联动、网格之间协调联动，确保辖区“无缝隙、无盲点、无空白”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1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1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一级指标</w:t>
            </w:r>
          </w:p>
        </w:tc>
        <w:tc>
          <w:tcPr>
            <w:tcW w:w="102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二级指标</w:t>
            </w:r>
          </w:p>
        </w:tc>
        <w:tc>
          <w:tcPr>
            <w:tcW w:w="1948"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三级指标</w:t>
            </w:r>
          </w:p>
        </w:tc>
        <w:tc>
          <w:tcPr>
            <w:tcW w:w="84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年度指标值</w:t>
            </w:r>
          </w:p>
        </w:tc>
        <w:tc>
          <w:tcPr>
            <w:tcW w:w="75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实际完成值</w:t>
            </w:r>
          </w:p>
        </w:tc>
        <w:tc>
          <w:tcPr>
            <w:tcW w:w="807"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分值</w:t>
            </w:r>
          </w:p>
        </w:tc>
        <w:tc>
          <w:tcPr>
            <w:tcW w:w="845"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得分</w:t>
            </w:r>
          </w:p>
        </w:tc>
        <w:tc>
          <w:tcPr>
            <w:tcW w:w="159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1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1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94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84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7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80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84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59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1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年度绩效指标完成情况</w:t>
            </w:r>
          </w:p>
        </w:tc>
        <w:tc>
          <w:tcPr>
            <w:tcW w:w="101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产出指标</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数量指标</w:t>
            </w:r>
          </w:p>
        </w:tc>
        <w:tc>
          <w:tcPr>
            <w:tcW w:w="1948" w:type="dxa"/>
            <w:gridSpan w:val="2"/>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发放（补助）人数（人次）</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=222人</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222人</w:t>
            </w:r>
          </w:p>
        </w:tc>
        <w:tc>
          <w:tcPr>
            <w:tcW w:w="80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8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5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1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1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数量指标</w:t>
            </w:r>
          </w:p>
        </w:tc>
        <w:tc>
          <w:tcPr>
            <w:tcW w:w="1948" w:type="dxa"/>
            <w:gridSpan w:val="2"/>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发放（补助）次数</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=12次</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12次</w:t>
            </w:r>
          </w:p>
        </w:tc>
        <w:tc>
          <w:tcPr>
            <w:tcW w:w="80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8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5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1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1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质量指标</w:t>
            </w:r>
          </w:p>
        </w:tc>
        <w:tc>
          <w:tcPr>
            <w:tcW w:w="1948" w:type="dxa"/>
            <w:gridSpan w:val="2"/>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人员伙食经费保障率</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w:t>
            </w:r>
          </w:p>
        </w:tc>
        <w:tc>
          <w:tcPr>
            <w:tcW w:w="80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8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5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1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1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质量指标</w:t>
            </w:r>
          </w:p>
        </w:tc>
        <w:tc>
          <w:tcPr>
            <w:tcW w:w="1948" w:type="dxa"/>
            <w:gridSpan w:val="2"/>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工作完成合格率</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w:t>
            </w:r>
          </w:p>
        </w:tc>
        <w:tc>
          <w:tcPr>
            <w:tcW w:w="80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8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5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1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1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时效指标</w:t>
            </w:r>
          </w:p>
        </w:tc>
        <w:tc>
          <w:tcPr>
            <w:tcW w:w="1948" w:type="dxa"/>
            <w:gridSpan w:val="2"/>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资金发放（补助）及时性</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w:t>
            </w:r>
          </w:p>
        </w:tc>
        <w:tc>
          <w:tcPr>
            <w:tcW w:w="80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8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5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1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1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时效指标</w:t>
            </w:r>
          </w:p>
        </w:tc>
        <w:tc>
          <w:tcPr>
            <w:tcW w:w="1948" w:type="dxa"/>
            <w:gridSpan w:val="2"/>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项目完成时间</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&lt;=2021年12月31日</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2021年12月31日</w:t>
            </w:r>
          </w:p>
        </w:tc>
        <w:tc>
          <w:tcPr>
            <w:tcW w:w="80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8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5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1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1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成本指标</w:t>
            </w:r>
          </w:p>
        </w:tc>
        <w:tc>
          <w:tcPr>
            <w:tcW w:w="1948" w:type="dxa"/>
            <w:gridSpan w:val="2"/>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每次发放（补助）资金数</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&lt;=18.33万元</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15.44万元</w:t>
            </w:r>
          </w:p>
        </w:tc>
        <w:tc>
          <w:tcPr>
            <w:tcW w:w="80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w:t>
            </w:r>
          </w:p>
        </w:tc>
        <w:tc>
          <w:tcPr>
            <w:tcW w:w="8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8.4</w:t>
            </w:r>
          </w:p>
        </w:tc>
        <w:tc>
          <w:tcPr>
            <w:tcW w:w="15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1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1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成本指标</w:t>
            </w:r>
          </w:p>
        </w:tc>
        <w:tc>
          <w:tcPr>
            <w:tcW w:w="1948" w:type="dxa"/>
            <w:gridSpan w:val="2"/>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经费总数</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&lt;=220万元</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185.33万元</w:t>
            </w:r>
          </w:p>
        </w:tc>
        <w:tc>
          <w:tcPr>
            <w:tcW w:w="80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w:t>
            </w:r>
          </w:p>
        </w:tc>
        <w:tc>
          <w:tcPr>
            <w:tcW w:w="8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8.4</w:t>
            </w:r>
          </w:p>
        </w:tc>
        <w:tc>
          <w:tcPr>
            <w:tcW w:w="15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1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1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效益指标</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经济效益指标</w:t>
            </w:r>
          </w:p>
        </w:tc>
        <w:tc>
          <w:tcPr>
            <w:tcW w:w="1948" w:type="dxa"/>
            <w:gridSpan w:val="2"/>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left"/>
              <w:rPr>
                <w:rFonts w:hint="eastAsia" w:ascii="宋体" w:hAnsi="宋体"/>
                <w:color w:val="000000"/>
                <w:sz w:val="18"/>
                <w:szCs w:val="24"/>
              </w:rPr>
            </w:pP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80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8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5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1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1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社会效益指标</w:t>
            </w:r>
          </w:p>
        </w:tc>
        <w:tc>
          <w:tcPr>
            <w:tcW w:w="1948" w:type="dxa"/>
            <w:gridSpan w:val="2"/>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保障我I区各单位 工作顺利开展</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有效</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有效</w:t>
            </w:r>
          </w:p>
        </w:tc>
        <w:tc>
          <w:tcPr>
            <w:tcW w:w="80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15</w:t>
            </w:r>
          </w:p>
        </w:tc>
        <w:tc>
          <w:tcPr>
            <w:tcW w:w="8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15</w:t>
            </w:r>
          </w:p>
        </w:tc>
        <w:tc>
          <w:tcPr>
            <w:tcW w:w="15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1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1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生态效益指标</w:t>
            </w:r>
          </w:p>
        </w:tc>
        <w:tc>
          <w:tcPr>
            <w:tcW w:w="1948" w:type="dxa"/>
            <w:gridSpan w:val="2"/>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left"/>
              <w:rPr>
                <w:rFonts w:hint="eastAsia" w:ascii="宋体" w:hAnsi="宋体"/>
                <w:color w:val="000000"/>
                <w:sz w:val="18"/>
                <w:szCs w:val="24"/>
              </w:rPr>
            </w:pP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80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8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5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1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1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可持续影响指标</w:t>
            </w:r>
          </w:p>
        </w:tc>
        <w:tc>
          <w:tcPr>
            <w:tcW w:w="1948" w:type="dxa"/>
            <w:gridSpan w:val="2"/>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为社区居民服务，维护社区稳定，持续解决所在辖区居民困难期限</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&gt;=1年</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1年</w:t>
            </w:r>
          </w:p>
        </w:tc>
        <w:tc>
          <w:tcPr>
            <w:tcW w:w="80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15</w:t>
            </w:r>
          </w:p>
        </w:tc>
        <w:tc>
          <w:tcPr>
            <w:tcW w:w="8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15</w:t>
            </w:r>
          </w:p>
        </w:tc>
        <w:tc>
          <w:tcPr>
            <w:tcW w:w="15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1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满意度指标</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满意度指标</w:t>
            </w:r>
          </w:p>
        </w:tc>
        <w:tc>
          <w:tcPr>
            <w:tcW w:w="1948" w:type="dxa"/>
            <w:gridSpan w:val="2"/>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受益人员满意度</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&gt;=95%</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95%</w:t>
            </w:r>
          </w:p>
        </w:tc>
        <w:tc>
          <w:tcPr>
            <w:tcW w:w="80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w:t>
            </w:r>
          </w:p>
        </w:tc>
        <w:tc>
          <w:tcPr>
            <w:tcW w:w="8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w:t>
            </w:r>
          </w:p>
        </w:tc>
        <w:tc>
          <w:tcPr>
            <w:tcW w:w="15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6604"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总分</w:t>
            </w:r>
          </w:p>
        </w:tc>
        <w:tc>
          <w:tcPr>
            <w:tcW w:w="80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w:t>
            </w:r>
          </w:p>
        </w:tc>
        <w:tc>
          <w:tcPr>
            <w:tcW w:w="8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96.80分</w:t>
            </w:r>
          </w:p>
        </w:tc>
        <w:tc>
          <w:tcPr>
            <w:tcW w:w="15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r>
    </w:tbl>
    <w:p>
      <w:pPr>
        <w:shd w:val="clear" w:color="auto" w:fill="FFFFFF"/>
        <w:spacing w:beforeLines="0" w:afterLines="0" w:line="360" w:lineRule="auto"/>
        <w:jc w:val="center"/>
        <w:rPr>
          <w:rFonts w:hint="eastAsia" w:ascii="仿宋_GB2312" w:hAnsi="仿宋_GB2312" w:eastAsia="仿宋_GB2312"/>
          <w:color w:val="auto"/>
          <w:kern w:val="0"/>
          <w:sz w:val="32"/>
          <w:szCs w:val="24"/>
          <w:lang w:val="en-US"/>
        </w:rPr>
      </w:pPr>
    </w:p>
    <w:tbl>
      <w:tblPr>
        <w:tblStyle w:val="2"/>
        <w:tblW w:w="96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51"/>
        <w:gridCol w:w="1052"/>
        <w:gridCol w:w="1057"/>
        <w:gridCol w:w="1038"/>
        <w:gridCol w:w="988"/>
        <w:gridCol w:w="576"/>
        <w:gridCol w:w="586"/>
        <w:gridCol w:w="654"/>
        <w:gridCol w:w="474"/>
        <w:gridCol w:w="524"/>
        <w:gridCol w:w="613"/>
        <w:gridCol w:w="426"/>
        <w:gridCol w:w="5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9094" w:type="dxa"/>
            <w:gridSpan w:val="13"/>
            <w:tcBorders>
              <w:top w:val="nil"/>
              <w:left w:val="nil"/>
              <w:bottom w:val="nil"/>
              <w:right w:val="nil"/>
              <w:tl2br w:val="nil"/>
              <w:tr2bl w:val="nil"/>
            </w:tcBorders>
            <w:noWrap w:val="0"/>
            <w:vAlign w:val="center"/>
          </w:tcPr>
          <w:p>
            <w:pPr>
              <w:spacing w:beforeLines="0" w:afterLines="0"/>
              <w:jc w:val="center"/>
              <w:textAlignment w:val="center"/>
              <w:rPr>
                <w:rFonts w:hint="eastAsia" w:ascii="宋体" w:hAnsi="宋体"/>
                <w:b/>
                <w:color w:val="000000"/>
                <w:sz w:val="18"/>
                <w:szCs w:val="24"/>
              </w:rPr>
            </w:pPr>
            <w:r>
              <w:rPr>
                <w:rFonts w:hint="eastAsia" w:ascii="宋体" w:hAnsi="宋体"/>
                <w:b/>
                <w:color w:val="000000"/>
                <w:kern w:val="0"/>
                <w:sz w:val="18"/>
                <w:szCs w:val="24"/>
                <w:lang w:val="en-US" w:eastAsia="zh-CN"/>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9094" w:type="dxa"/>
            <w:gridSpan w:val="13"/>
            <w:tcBorders>
              <w:top w:val="nil"/>
              <w:left w:val="nil"/>
              <w:bottom w:val="nil"/>
              <w:right w:val="nil"/>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项目名称</w:t>
            </w:r>
          </w:p>
        </w:tc>
        <w:tc>
          <w:tcPr>
            <w:tcW w:w="6934"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公共文化站免费开放资金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主管部门</w:t>
            </w:r>
          </w:p>
        </w:tc>
        <w:tc>
          <w:tcPr>
            <w:tcW w:w="360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乌鲁木齐高新技术产业开发区（乌鲁木齐市新市区）长春中路片区管理委员会</w:t>
            </w:r>
          </w:p>
        </w:tc>
        <w:tc>
          <w:tcPr>
            <w:tcW w:w="12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实施单位</w:t>
            </w:r>
          </w:p>
        </w:tc>
        <w:tc>
          <w:tcPr>
            <w:tcW w:w="259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乌鲁木齐高新技术产业开发区（乌鲁木齐市新市区）长春中路片区管理委员会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16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项目资金</w:t>
            </w:r>
            <w:r>
              <w:rPr>
                <w:rFonts w:hint="eastAsia" w:ascii="宋体" w:hAnsi="宋体"/>
                <w:color w:val="000000"/>
                <w:kern w:val="0"/>
                <w:sz w:val="18"/>
                <w:szCs w:val="24"/>
                <w:lang w:val="en-US" w:eastAsia="zh-CN"/>
              </w:rPr>
              <w:br w:type="textWrapping"/>
            </w:r>
            <w:r>
              <w:rPr>
                <w:rFonts w:hint="eastAsia" w:ascii="宋体" w:hAnsi="宋体"/>
                <w:color w:val="000000"/>
                <w:kern w:val="0"/>
                <w:sz w:val="18"/>
                <w:szCs w:val="24"/>
                <w:lang w:val="en-US" w:eastAsia="zh-CN"/>
              </w:rPr>
              <w:t>（万元）</w:t>
            </w: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年初预算数</w:t>
            </w:r>
          </w:p>
        </w:tc>
        <w:tc>
          <w:tcPr>
            <w:tcW w:w="4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全年预算数</w:t>
            </w:r>
          </w:p>
        </w:tc>
        <w:tc>
          <w:tcPr>
            <w:tcW w:w="12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全年执行数</w:t>
            </w:r>
          </w:p>
        </w:tc>
        <w:tc>
          <w:tcPr>
            <w:tcW w:w="102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分值</w:t>
            </w: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执行率</w:t>
            </w: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16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年度资金总额</w:t>
            </w:r>
          </w:p>
        </w:tc>
        <w:tc>
          <w:tcPr>
            <w:tcW w:w="10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8.00</w:t>
            </w:r>
          </w:p>
        </w:tc>
        <w:tc>
          <w:tcPr>
            <w:tcW w:w="4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8.00</w:t>
            </w:r>
          </w:p>
        </w:tc>
        <w:tc>
          <w:tcPr>
            <w:tcW w:w="12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3.60</w:t>
            </w:r>
          </w:p>
        </w:tc>
        <w:tc>
          <w:tcPr>
            <w:tcW w:w="102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w:t>
            </w: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45.00%</w:t>
            </w: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4.50分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16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其中：当年财政拨款</w:t>
            </w:r>
          </w:p>
        </w:tc>
        <w:tc>
          <w:tcPr>
            <w:tcW w:w="10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8</w:t>
            </w:r>
          </w:p>
        </w:tc>
        <w:tc>
          <w:tcPr>
            <w:tcW w:w="4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8</w:t>
            </w:r>
          </w:p>
        </w:tc>
        <w:tc>
          <w:tcPr>
            <w:tcW w:w="12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3.6</w:t>
            </w:r>
          </w:p>
        </w:tc>
        <w:tc>
          <w:tcPr>
            <w:tcW w:w="102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16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 xml:space="preserve">      上年结转资金</w:t>
            </w:r>
          </w:p>
        </w:tc>
        <w:tc>
          <w:tcPr>
            <w:tcW w:w="10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0</w:t>
            </w:r>
          </w:p>
        </w:tc>
        <w:tc>
          <w:tcPr>
            <w:tcW w:w="4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0</w:t>
            </w:r>
          </w:p>
        </w:tc>
        <w:tc>
          <w:tcPr>
            <w:tcW w:w="12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0</w:t>
            </w:r>
          </w:p>
        </w:tc>
        <w:tc>
          <w:tcPr>
            <w:tcW w:w="102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16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 xml:space="preserve">  其他资金</w:t>
            </w:r>
          </w:p>
        </w:tc>
        <w:tc>
          <w:tcPr>
            <w:tcW w:w="10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0</w:t>
            </w:r>
          </w:p>
        </w:tc>
        <w:tc>
          <w:tcPr>
            <w:tcW w:w="4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0</w:t>
            </w:r>
          </w:p>
        </w:tc>
        <w:tc>
          <w:tcPr>
            <w:tcW w:w="12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0</w:t>
            </w:r>
          </w:p>
        </w:tc>
        <w:tc>
          <w:tcPr>
            <w:tcW w:w="102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c>
          <w:tcPr>
            <w:tcW w:w="105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年度总体目标</w:t>
            </w:r>
          </w:p>
        </w:tc>
        <w:tc>
          <w:tcPr>
            <w:tcW w:w="468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预期目标</w:t>
            </w:r>
          </w:p>
        </w:tc>
        <w:tc>
          <w:tcPr>
            <w:tcW w:w="3858"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4681" w:type="dxa"/>
            <w:gridSpan w:val="5"/>
            <w:tcBorders>
              <w:top w:val="single" w:color="000000" w:sz="4" w:space="0"/>
              <w:left w:val="single" w:color="000000" w:sz="4" w:space="0"/>
              <w:bottom w:val="single" w:color="000000" w:sz="4" w:space="0"/>
              <w:right w:val="nil"/>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以习近平新时代中国特色社会主义思想为指导，紧紧围绕社会稳定和长治久安的总目标，坚决贯彻落实自治区党委“1+3+3改革开放”工作部署和市委确定的“聚焦总目标”、抓好“三件大事”、建设“六个首府”总体思路及区委各项工作安排，以及推动“打、防、管、控、建”常态化的工作要求，统一思想认识，强化责任担当。</w:t>
            </w:r>
          </w:p>
        </w:tc>
        <w:tc>
          <w:tcPr>
            <w:tcW w:w="3858"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有效结合庆祝建党100周年系列活动以及党史学习教育，开展志愿服务21场次、为群众办好事实事11件.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一级指标</w:t>
            </w:r>
          </w:p>
        </w:tc>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二级指标</w:t>
            </w:r>
          </w:p>
        </w:tc>
        <w:tc>
          <w:tcPr>
            <w:tcW w:w="2521"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三级指标</w:t>
            </w:r>
          </w:p>
        </w:tc>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实际完成值</w:t>
            </w:r>
          </w:p>
        </w:tc>
        <w:tc>
          <w:tcPr>
            <w:tcW w:w="1156"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分值</w:t>
            </w:r>
          </w:p>
        </w:tc>
        <w:tc>
          <w:tcPr>
            <w:tcW w:w="1156"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得分</w:t>
            </w:r>
          </w:p>
        </w:tc>
        <w:tc>
          <w:tcPr>
            <w:tcW w:w="96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2521"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15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15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96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年度绩效指标完成情况</w:t>
            </w:r>
          </w:p>
        </w:tc>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产出指标</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数量指标</w:t>
            </w:r>
          </w:p>
        </w:tc>
        <w:tc>
          <w:tcPr>
            <w:tcW w:w="252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举办活动场次</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4场</w:t>
            </w:r>
          </w:p>
        </w:tc>
        <w:tc>
          <w:tcPr>
            <w:tcW w:w="11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4</w:t>
            </w:r>
          </w:p>
        </w:tc>
        <w:tc>
          <w:tcPr>
            <w:tcW w:w="11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4</w:t>
            </w:r>
          </w:p>
        </w:tc>
        <w:tc>
          <w:tcPr>
            <w:tcW w:w="9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数量指标</w:t>
            </w:r>
          </w:p>
        </w:tc>
        <w:tc>
          <w:tcPr>
            <w:tcW w:w="252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参加活动人数</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50人</w:t>
            </w:r>
          </w:p>
        </w:tc>
        <w:tc>
          <w:tcPr>
            <w:tcW w:w="11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3</w:t>
            </w:r>
          </w:p>
        </w:tc>
        <w:tc>
          <w:tcPr>
            <w:tcW w:w="11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3</w:t>
            </w:r>
          </w:p>
        </w:tc>
        <w:tc>
          <w:tcPr>
            <w:tcW w:w="9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数量指标</w:t>
            </w:r>
          </w:p>
        </w:tc>
        <w:tc>
          <w:tcPr>
            <w:tcW w:w="252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举办活动天数</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4天</w:t>
            </w:r>
          </w:p>
        </w:tc>
        <w:tc>
          <w:tcPr>
            <w:tcW w:w="11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3</w:t>
            </w:r>
          </w:p>
        </w:tc>
        <w:tc>
          <w:tcPr>
            <w:tcW w:w="11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3</w:t>
            </w:r>
          </w:p>
        </w:tc>
        <w:tc>
          <w:tcPr>
            <w:tcW w:w="9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质量指标</w:t>
            </w:r>
          </w:p>
        </w:tc>
        <w:tc>
          <w:tcPr>
            <w:tcW w:w="252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经费保障率</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w:t>
            </w:r>
          </w:p>
        </w:tc>
        <w:tc>
          <w:tcPr>
            <w:tcW w:w="11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1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9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质量指标</w:t>
            </w:r>
          </w:p>
        </w:tc>
        <w:tc>
          <w:tcPr>
            <w:tcW w:w="252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年度免费开放时间达标率</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w:t>
            </w:r>
          </w:p>
        </w:tc>
        <w:tc>
          <w:tcPr>
            <w:tcW w:w="11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1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9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质量指标</w:t>
            </w:r>
          </w:p>
        </w:tc>
        <w:tc>
          <w:tcPr>
            <w:tcW w:w="252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补助公共文化设施覆盖率</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95%</w:t>
            </w:r>
          </w:p>
        </w:tc>
        <w:tc>
          <w:tcPr>
            <w:tcW w:w="11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1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9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时效指标</w:t>
            </w:r>
          </w:p>
        </w:tc>
        <w:tc>
          <w:tcPr>
            <w:tcW w:w="252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活动按时完成率</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w:t>
            </w:r>
          </w:p>
        </w:tc>
        <w:tc>
          <w:tcPr>
            <w:tcW w:w="11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1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9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时效指标</w:t>
            </w:r>
          </w:p>
        </w:tc>
        <w:tc>
          <w:tcPr>
            <w:tcW w:w="252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经费及时保障率</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w:t>
            </w:r>
          </w:p>
        </w:tc>
        <w:tc>
          <w:tcPr>
            <w:tcW w:w="11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1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9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时效指标</w:t>
            </w:r>
          </w:p>
        </w:tc>
        <w:tc>
          <w:tcPr>
            <w:tcW w:w="252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项目完成时限</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12个月</w:t>
            </w:r>
          </w:p>
        </w:tc>
        <w:tc>
          <w:tcPr>
            <w:tcW w:w="11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1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9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成本指标</w:t>
            </w:r>
          </w:p>
        </w:tc>
        <w:tc>
          <w:tcPr>
            <w:tcW w:w="252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项目总支出</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3.6万元</w:t>
            </w:r>
          </w:p>
        </w:tc>
        <w:tc>
          <w:tcPr>
            <w:tcW w:w="11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1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2.25</w:t>
            </w:r>
          </w:p>
        </w:tc>
        <w:tc>
          <w:tcPr>
            <w:tcW w:w="9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成本指标</w:t>
            </w:r>
          </w:p>
        </w:tc>
        <w:tc>
          <w:tcPr>
            <w:tcW w:w="252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预算控制率</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w:t>
            </w:r>
          </w:p>
        </w:tc>
        <w:tc>
          <w:tcPr>
            <w:tcW w:w="11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1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9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效益指标</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经济效益指标</w:t>
            </w:r>
          </w:p>
        </w:tc>
        <w:tc>
          <w:tcPr>
            <w:tcW w:w="252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1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1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9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社会效益指标</w:t>
            </w:r>
          </w:p>
        </w:tc>
        <w:tc>
          <w:tcPr>
            <w:tcW w:w="252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持续维护辖区治安稳定，服务辖区群众</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有效</w:t>
            </w:r>
          </w:p>
        </w:tc>
        <w:tc>
          <w:tcPr>
            <w:tcW w:w="11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15</w:t>
            </w:r>
          </w:p>
        </w:tc>
        <w:tc>
          <w:tcPr>
            <w:tcW w:w="11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15</w:t>
            </w:r>
          </w:p>
        </w:tc>
        <w:tc>
          <w:tcPr>
            <w:tcW w:w="9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生态效益指标</w:t>
            </w:r>
          </w:p>
        </w:tc>
        <w:tc>
          <w:tcPr>
            <w:tcW w:w="252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1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1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9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可持续影响指标</w:t>
            </w:r>
          </w:p>
        </w:tc>
        <w:tc>
          <w:tcPr>
            <w:tcW w:w="252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项目持续发挥效益年限</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1年</w:t>
            </w:r>
          </w:p>
        </w:tc>
        <w:tc>
          <w:tcPr>
            <w:tcW w:w="11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15</w:t>
            </w:r>
          </w:p>
        </w:tc>
        <w:tc>
          <w:tcPr>
            <w:tcW w:w="11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15</w:t>
            </w:r>
          </w:p>
        </w:tc>
        <w:tc>
          <w:tcPr>
            <w:tcW w:w="9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满意度指标</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满意度指标</w:t>
            </w:r>
          </w:p>
        </w:tc>
        <w:tc>
          <w:tcPr>
            <w:tcW w:w="252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参加活动人员满意度</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98%</w:t>
            </w:r>
          </w:p>
        </w:tc>
        <w:tc>
          <w:tcPr>
            <w:tcW w:w="11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w:t>
            </w:r>
          </w:p>
        </w:tc>
        <w:tc>
          <w:tcPr>
            <w:tcW w:w="11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w:t>
            </w:r>
          </w:p>
        </w:tc>
        <w:tc>
          <w:tcPr>
            <w:tcW w:w="9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5761"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总分</w:t>
            </w:r>
          </w:p>
        </w:tc>
        <w:tc>
          <w:tcPr>
            <w:tcW w:w="11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w:t>
            </w:r>
          </w:p>
        </w:tc>
        <w:tc>
          <w:tcPr>
            <w:tcW w:w="11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91.75分</w:t>
            </w:r>
          </w:p>
        </w:tc>
        <w:tc>
          <w:tcPr>
            <w:tcW w:w="9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r>
    </w:tbl>
    <w:p>
      <w:pPr>
        <w:shd w:val="clear" w:color="auto" w:fill="FFFFFF"/>
        <w:spacing w:beforeLines="0" w:afterLines="0" w:line="360" w:lineRule="auto"/>
        <w:jc w:val="center"/>
        <w:rPr>
          <w:rFonts w:hint="eastAsia" w:ascii="仿宋_GB2312" w:hAnsi="仿宋_GB2312" w:eastAsia="仿宋_GB2312"/>
          <w:color w:val="auto"/>
          <w:kern w:val="0"/>
          <w:sz w:val="32"/>
          <w:szCs w:val="24"/>
          <w:lang w:val="en-US"/>
        </w:rPr>
      </w:pPr>
    </w:p>
    <w:p>
      <w:pPr>
        <w:shd w:val="clear" w:color="auto" w:fill="FFFFFF"/>
        <w:spacing w:beforeLines="0" w:afterLines="0" w:line="360" w:lineRule="auto"/>
        <w:jc w:val="center"/>
        <w:rPr>
          <w:rFonts w:hint="eastAsia" w:ascii="仿宋_GB2312" w:hAnsi="仿宋_GB2312" w:eastAsia="仿宋_GB2312"/>
          <w:color w:val="auto"/>
          <w:kern w:val="0"/>
          <w:sz w:val="32"/>
          <w:szCs w:val="24"/>
          <w:lang w:val="en-US"/>
        </w:rPr>
      </w:pPr>
    </w:p>
    <w:p>
      <w:pPr>
        <w:shd w:val="clear" w:color="auto" w:fill="FFFFFF"/>
        <w:spacing w:beforeLines="0" w:afterLines="0" w:line="360" w:lineRule="auto"/>
        <w:jc w:val="center"/>
        <w:rPr>
          <w:rFonts w:hint="eastAsia" w:ascii="仿宋_GB2312" w:hAnsi="仿宋_GB2312" w:eastAsia="仿宋_GB2312"/>
          <w:color w:val="auto"/>
          <w:kern w:val="0"/>
          <w:sz w:val="32"/>
          <w:szCs w:val="24"/>
          <w:lang w:val="en-US"/>
        </w:rPr>
      </w:pPr>
    </w:p>
    <w:tbl>
      <w:tblPr>
        <w:tblStyle w:val="2"/>
        <w:tblW w:w="100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24"/>
        <w:gridCol w:w="1024"/>
        <w:gridCol w:w="1035"/>
        <w:gridCol w:w="999"/>
        <w:gridCol w:w="666"/>
        <w:gridCol w:w="580"/>
        <w:gridCol w:w="666"/>
        <w:gridCol w:w="586"/>
        <w:gridCol w:w="640"/>
        <w:gridCol w:w="420"/>
        <w:gridCol w:w="868"/>
        <w:gridCol w:w="98"/>
        <w:gridCol w:w="748"/>
        <w:gridCol w:w="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10024" w:type="dxa"/>
            <w:gridSpan w:val="14"/>
            <w:tcBorders>
              <w:top w:val="nil"/>
              <w:left w:val="nil"/>
              <w:bottom w:val="nil"/>
              <w:right w:val="nil"/>
              <w:tl2br w:val="nil"/>
              <w:tr2bl w:val="nil"/>
            </w:tcBorders>
            <w:noWrap w:val="0"/>
            <w:vAlign w:val="center"/>
          </w:tcPr>
          <w:p>
            <w:pPr>
              <w:spacing w:beforeLines="0" w:afterLines="0"/>
              <w:jc w:val="center"/>
              <w:textAlignment w:val="center"/>
              <w:rPr>
                <w:rFonts w:hint="eastAsia" w:ascii="宋体" w:hAnsi="宋体"/>
                <w:b/>
                <w:color w:val="000000"/>
                <w:sz w:val="18"/>
                <w:szCs w:val="24"/>
              </w:rPr>
            </w:pPr>
            <w:r>
              <w:rPr>
                <w:rFonts w:hint="eastAsia" w:ascii="宋体" w:hAnsi="宋体"/>
                <w:b/>
                <w:color w:val="000000"/>
                <w:kern w:val="0"/>
                <w:sz w:val="18"/>
                <w:szCs w:val="24"/>
                <w:lang w:val="en-US" w:eastAsia="zh-CN"/>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10024" w:type="dxa"/>
            <w:gridSpan w:val="14"/>
            <w:tcBorders>
              <w:top w:val="nil"/>
              <w:left w:val="nil"/>
              <w:bottom w:val="nil"/>
              <w:right w:val="nil"/>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项目名称</w:t>
            </w:r>
          </w:p>
        </w:tc>
        <w:tc>
          <w:tcPr>
            <w:tcW w:w="7864"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社区阵地设施经费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主管部门</w:t>
            </w:r>
          </w:p>
        </w:tc>
        <w:tc>
          <w:tcPr>
            <w:tcW w:w="384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乌鲁木齐高新技术产业开发区（乌鲁木齐市新市区）长春中路片区管理委员会</w:t>
            </w:r>
          </w:p>
        </w:tc>
        <w:tc>
          <w:tcPr>
            <w:tcW w:w="12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实施单位</w:t>
            </w:r>
          </w:p>
        </w:tc>
        <w:tc>
          <w:tcPr>
            <w:tcW w:w="276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乌鲁木齐高新技术产业开发区（乌鲁木齐市新市区）长春中路片区管理委员会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16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项目资金</w:t>
            </w:r>
            <w:r>
              <w:rPr>
                <w:rFonts w:hint="eastAsia" w:ascii="宋体" w:hAnsi="宋体"/>
                <w:color w:val="000000"/>
                <w:kern w:val="0"/>
                <w:sz w:val="18"/>
                <w:szCs w:val="24"/>
                <w:lang w:val="en-US" w:eastAsia="zh-CN"/>
              </w:rPr>
              <w:br w:type="textWrapping"/>
            </w:r>
            <w:r>
              <w:rPr>
                <w:rFonts w:hint="eastAsia" w:ascii="宋体" w:hAnsi="宋体"/>
                <w:color w:val="000000"/>
                <w:kern w:val="0"/>
                <w:sz w:val="18"/>
                <w:szCs w:val="24"/>
                <w:lang w:val="en-US" w:eastAsia="zh-CN"/>
              </w:rPr>
              <w:t>（万元）</w:t>
            </w: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4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年初预算数</w:t>
            </w:r>
          </w:p>
        </w:tc>
        <w:tc>
          <w:tcPr>
            <w:tcW w:w="12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全年预算数</w:t>
            </w:r>
          </w:p>
        </w:tc>
        <w:tc>
          <w:tcPr>
            <w:tcW w:w="12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全年执行数</w:t>
            </w:r>
          </w:p>
        </w:tc>
        <w:tc>
          <w:tcPr>
            <w:tcW w:w="132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分值</w:t>
            </w:r>
          </w:p>
        </w:tc>
        <w:tc>
          <w:tcPr>
            <w:tcW w:w="78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执行率</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16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年度资金总额</w:t>
            </w:r>
          </w:p>
        </w:tc>
        <w:tc>
          <w:tcPr>
            <w:tcW w:w="4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50.00</w:t>
            </w:r>
          </w:p>
        </w:tc>
        <w:tc>
          <w:tcPr>
            <w:tcW w:w="12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50.00</w:t>
            </w:r>
          </w:p>
        </w:tc>
        <w:tc>
          <w:tcPr>
            <w:tcW w:w="12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50.00</w:t>
            </w:r>
          </w:p>
        </w:tc>
        <w:tc>
          <w:tcPr>
            <w:tcW w:w="132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w:t>
            </w:r>
          </w:p>
        </w:tc>
        <w:tc>
          <w:tcPr>
            <w:tcW w:w="78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100.00%</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16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其中：当年财政拨款</w:t>
            </w:r>
          </w:p>
        </w:tc>
        <w:tc>
          <w:tcPr>
            <w:tcW w:w="4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50</w:t>
            </w:r>
          </w:p>
        </w:tc>
        <w:tc>
          <w:tcPr>
            <w:tcW w:w="12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50</w:t>
            </w:r>
          </w:p>
        </w:tc>
        <w:tc>
          <w:tcPr>
            <w:tcW w:w="12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50</w:t>
            </w:r>
          </w:p>
        </w:tc>
        <w:tc>
          <w:tcPr>
            <w:tcW w:w="132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c>
          <w:tcPr>
            <w:tcW w:w="78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16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 xml:space="preserve">      上年结转资金</w:t>
            </w:r>
          </w:p>
        </w:tc>
        <w:tc>
          <w:tcPr>
            <w:tcW w:w="4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0</w:t>
            </w:r>
          </w:p>
        </w:tc>
        <w:tc>
          <w:tcPr>
            <w:tcW w:w="12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0</w:t>
            </w:r>
          </w:p>
        </w:tc>
        <w:tc>
          <w:tcPr>
            <w:tcW w:w="12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0</w:t>
            </w:r>
          </w:p>
        </w:tc>
        <w:tc>
          <w:tcPr>
            <w:tcW w:w="132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c>
          <w:tcPr>
            <w:tcW w:w="78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16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 xml:space="preserve">  其他资金</w:t>
            </w:r>
          </w:p>
        </w:tc>
        <w:tc>
          <w:tcPr>
            <w:tcW w:w="4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0</w:t>
            </w:r>
          </w:p>
        </w:tc>
        <w:tc>
          <w:tcPr>
            <w:tcW w:w="12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0</w:t>
            </w:r>
          </w:p>
        </w:tc>
        <w:tc>
          <w:tcPr>
            <w:tcW w:w="12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0</w:t>
            </w:r>
          </w:p>
        </w:tc>
        <w:tc>
          <w:tcPr>
            <w:tcW w:w="132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c>
          <w:tcPr>
            <w:tcW w:w="78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年度总体目标</w:t>
            </w:r>
          </w:p>
        </w:tc>
        <w:tc>
          <w:tcPr>
            <w:tcW w:w="4920"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预期目标</w:t>
            </w:r>
          </w:p>
        </w:tc>
        <w:tc>
          <w:tcPr>
            <w:tcW w:w="4024"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4920"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以习近平新时代中国特色社会主义思想为指导，紧紧围绕社会稳定和长治久安的总目标，坚决贯彻落实自治区党委“1+3+3改革开放”工作部署和市委确定的“聚焦总目标”、抓好“三件大事”、建设“六个首府”总体思路及区委各项工作安排，以及推动“打、防、管、控、建”常态化的工作要求，统一思想认识，强化责任担当。</w:t>
            </w:r>
          </w:p>
        </w:tc>
        <w:tc>
          <w:tcPr>
            <w:tcW w:w="4024"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网格建设逐步规范。按照“党建+治安”网格一体化建设五级组织体系，片区共有网格21个，网格员190人。扎实有效结合庆祝建党100周年系列活动以及党史学习教育，共开展党史学习研讨24 场次、专题党课7场次、革命传统教育11场次、先进典型 教育7场次、党员重温入党誓词231人次、谈心谈话95人 次、过政治生日20人次、开展志愿服务21场次、为群众办好事实事11件、颁发“光荣在党50年”纪念章46人次，受教党员群众达千余人次。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一级指标</w:t>
            </w:r>
          </w:p>
        </w:tc>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二级指标</w:t>
            </w:r>
          </w:p>
        </w:tc>
        <w:tc>
          <w:tcPr>
            <w:tcW w:w="2130"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三级指标</w:t>
            </w:r>
          </w:p>
        </w:tc>
        <w:tc>
          <w:tcPr>
            <w:tcW w:w="63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年度指标值</w:t>
            </w:r>
          </w:p>
        </w:tc>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实际完成值</w:t>
            </w:r>
          </w:p>
        </w:tc>
        <w:tc>
          <w:tcPr>
            <w:tcW w:w="1111"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分值</w:t>
            </w:r>
          </w:p>
        </w:tc>
        <w:tc>
          <w:tcPr>
            <w:tcW w:w="961"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得分</w:t>
            </w:r>
          </w:p>
        </w:tc>
        <w:tc>
          <w:tcPr>
            <w:tcW w:w="1366"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2130"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6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11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96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36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年度绩效指标完成情况</w:t>
            </w:r>
          </w:p>
        </w:tc>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产出指标</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数量指标</w:t>
            </w:r>
          </w:p>
        </w:tc>
        <w:tc>
          <w:tcPr>
            <w:tcW w:w="213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覆盖社区数量（个）</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=10个</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10个</w:t>
            </w:r>
          </w:p>
        </w:tc>
        <w:tc>
          <w:tcPr>
            <w:tcW w:w="111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9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3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质量指标</w:t>
            </w:r>
          </w:p>
        </w:tc>
        <w:tc>
          <w:tcPr>
            <w:tcW w:w="213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经费足额拨付率</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w:t>
            </w:r>
          </w:p>
        </w:tc>
        <w:tc>
          <w:tcPr>
            <w:tcW w:w="111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9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3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质量指标</w:t>
            </w:r>
          </w:p>
        </w:tc>
        <w:tc>
          <w:tcPr>
            <w:tcW w:w="213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项目完成率</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w:t>
            </w:r>
          </w:p>
        </w:tc>
        <w:tc>
          <w:tcPr>
            <w:tcW w:w="111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w:t>
            </w:r>
          </w:p>
        </w:tc>
        <w:tc>
          <w:tcPr>
            <w:tcW w:w="9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w:t>
            </w:r>
          </w:p>
        </w:tc>
        <w:tc>
          <w:tcPr>
            <w:tcW w:w="13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时效指标</w:t>
            </w:r>
          </w:p>
        </w:tc>
        <w:tc>
          <w:tcPr>
            <w:tcW w:w="213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经费按时发放率</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w:t>
            </w:r>
          </w:p>
        </w:tc>
        <w:tc>
          <w:tcPr>
            <w:tcW w:w="111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9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3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时效指标</w:t>
            </w:r>
          </w:p>
        </w:tc>
        <w:tc>
          <w:tcPr>
            <w:tcW w:w="213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项目完成时间</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&lt;=12个月</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12个月</w:t>
            </w:r>
          </w:p>
        </w:tc>
        <w:tc>
          <w:tcPr>
            <w:tcW w:w="111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9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3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成本指标</w:t>
            </w:r>
          </w:p>
        </w:tc>
        <w:tc>
          <w:tcPr>
            <w:tcW w:w="213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社区经费标准（万/年）</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=5万元</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5万元</w:t>
            </w:r>
          </w:p>
        </w:tc>
        <w:tc>
          <w:tcPr>
            <w:tcW w:w="111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9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3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成本指标</w:t>
            </w:r>
          </w:p>
        </w:tc>
        <w:tc>
          <w:tcPr>
            <w:tcW w:w="213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社区经费总成本（万元）</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&lt;=50万元</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50万元</w:t>
            </w:r>
          </w:p>
        </w:tc>
        <w:tc>
          <w:tcPr>
            <w:tcW w:w="111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9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3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成本指标</w:t>
            </w:r>
          </w:p>
        </w:tc>
        <w:tc>
          <w:tcPr>
            <w:tcW w:w="213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预算控制率</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&lt;=95%</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w:t>
            </w:r>
          </w:p>
        </w:tc>
        <w:tc>
          <w:tcPr>
            <w:tcW w:w="111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w:t>
            </w:r>
          </w:p>
        </w:tc>
        <w:tc>
          <w:tcPr>
            <w:tcW w:w="9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w:t>
            </w:r>
          </w:p>
        </w:tc>
        <w:tc>
          <w:tcPr>
            <w:tcW w:w="13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效益指标</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经济效益指标</w:t>
            </w:r>
          </w:p>
        </w:tc>
        <w:tc>
          <w:tcPr>
            <w:tcW w:w="213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11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9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3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社会效益指标</w:t>
            </w:r>
          </w:p>
        </w:tc>
        <w:tc>
          <w:tcPr>
            <w:tcW w:w="213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持续维护辖区治安稳定，服务辖区群众</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有效</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有效</w:t>
            </w:r>
          </w:p>
        </w:tc>
        <w:tc>
          <w:tcPr>
            <w:tcW w:w="111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15</w:t>
            </w:r>
          </w:p>
        </w:tc>
        <w:tc>
          <w:tcPr>
            <w:tcW w:w="9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15</w:t>
            </w:r>
          </w:p>
        </w:tc>
        <w:tc>
          <w:tcPr>
            <w:tcW w:w="13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生态效益指标</w:t>
            </w:r>
          </w:p>
        </w:tc>
        <w:tc>
          <w:tcPr>
            <w:tcW w:w="213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11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9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3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可持续影响指标</w:t>
            </w:r>
          </w:p>
        </w:tc>
        <w:tc>
          <w:tcPr>
            <w:tcW w:w="213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项目持续发挥效益年限</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&gt;=1年</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1年</w:t>
            </w:r>
          </w:p>
        </w:tc>
        <w:tc>
          <w:tcPr>
            <w:tcW w:w="111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15</w:t>
            </w:r>
          </w:p>
        </w:tc>
        <w:tc>
          <w:tcPr>
            <w:tcW w:w="9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15</w:t>
            </w:r>
          </w:p>
        </w:tc>
        <w:tc>
          <w:tcPr>
            <w:tcW w:w="13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满意度指标</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满意度指标</w:t>
            </w:r>
          </w:p>
        </w:tc>
        <w:tc>
          <w:tcPr>
            <w:tcW w:w="213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辖区居民满意度</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&gt;=95%</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98%</w:t>
            </w:r>
          </w:p>
        </w:tc>
        <w:tc>
          <w:tcPr>
            <w:tcW w:w="111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9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3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满意度指标</w:t>
            </w:r>
          </w:p>
        </w:tc>
        <w:tc>
          <w:tcPr>
            <w:tcW w:w="213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textAlignment w:val="center"/>
              <w:rPr>
                <w:rFonts w:hint="eastAsia" w:ascii="宋体" w:hAnsi="宋体"/>
                <w:color w:val="000000"/>
                <w:sz w:val="18"/>
                <w:szCs w:val="24"/>
              </w:rPr>
            </w:pPr>
            <w:r>
              <w:rPr>
                <w:rFonts w:hint="eastAsia" w:ascii="宋体" w:hAnsi="宋体"/>
                <w:color w:val="000000"/>
                <w:kern w:val="0"/>
                <w:sz w:val="18"/>
                <w:szCs w:val="24"/>
                <w:lang w:val="en-US" w:eastAsia="zh-CN"/>
              </w:rPr>
              <w:t>社区工作人员满意度</w:t>
            </w:r>
          </w:p>
        </w:tc>
        <w:tc>
          <w:tcPr>
            <w:tcW w:w="6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&gt;=95%</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98%</w:t>
            </w:r>
          </w:p>
        </w:tc>
        <w:tc>
          <w:tcPr>
            <w:tcW w:w="111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9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5</w:t>
            </w:r>
          </w:p>
        </w:tc>
        <w:tc>
          <w:tcPr>
            <w:tcW w:w="13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left"/>
              <w:rPr>
                <w:rFonts w:hint="eastAsia" w:ascii="宋体" w:hAnsi="宋体"/>
                <w:color w:val="000000"/>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6586"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总分</w:t>
            </w:r>
          </w:p>
        </w:tc>
        <w:tc>
          <w:tcPr>
            <w:tcW w:w="111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w:t>
            </w:r>
          </w:p>
        </w:tc>
        <w:tc>
          <w:tcPr>
            <w:tcW w:w="9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textAlignment w:val="center"/>
              <w:rPr>
                <w:rFonts w:hint="eastAsia" w:ascii="宋体" w:hAnsi="宋体"/>
                <w:color w:val="000000"/>
                <w:sz w:val="18"/>
                <w:szCs w:val="24"/>
              </w:rPr>
            </w:pPr>
            <w:r>
              <w:rPr>
                <w:rFonts w:hint="eastAsia" w:ascii="宋体" w:hAnsi="宋体"/>
                <w:color w:val="000000"/>
                <w:kern w:val="0"/>
                <w:sz w:val="18"/>
                <w:szCs w:val="24"/>
                <w:lang w:val="en-US" w:eastAsia="zh-CN"/>
              </w:rPr>
              <w:t>100.00分</w:t>
            </w:r>
          </w:p>
        </w:tc>
        <w:tc>
          <w:tcPr>
            <w:tcW w:w="13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olor w:val="000000"/>
                <w:sz w:val="18"/>
                <w:szCs w:val="24"/>
              </w:rPr>
            </w:pPr>
          </w:p>
        </w:tc>
      </w:tr>
    </w:tbl>
    <w:p>
      <w:pPr>
        <w:shd w:val="clear" w:color="auto" w:fill="FFFFFF"/>
        <w:spacing w:before="100" w:beforeLines="0" w:after="240" w:afterLines="0"/>
        <w:rPr>
          <w:rFonts w:hint="eastAsia" w:ascii="黑体" w:hAnsi="黑体" w:eastAsia="黑体"/>
          <w:color w:val="auto"/>
          <w:kern w:val="0"/>
          <w:sz w:val="32"/>
          <w:szCs w:val="24"/>
          <w:lang w:val="en-US"/>
        </w:rPr>
      </w:pPr>
    </w:p>
    <w:p>
      <w:pPr>
        <w:shd w:val="clear" w:color="auto" w:fill="FFFFFF"/>
        <w:spacing w:before="100" w:beforeLines="0" w:after="240" w:afterLines="0"/>
        <w:jc w:val="center"/>
        <w:rPr>
          <w:rFonts w:hint="default" w:eastAsia="Times New Roman"/>
          <w:b/>
          <w:color w:val="auto"/>
          <w:kern w:val="0"/>
          <w:sz w:val="28"/>
          <w:szCs w:val="24"/>
          <w:lang w:val="en-US"/>
        </w:rPr>
      </w:pPr>
      <w:r>
        <w:rPr>
          <w:rFonts w:hint="eastAsia" w:ascii="黑体" w:hAnsi="黑体" w:eastAsia="黑体"/>
          <w:color w:val="auto"/>
          <w:kern w:val="0"/>
          <w:sz w:val="32"/>
          <w:szCs w:val="24"/>
          <w:lang w:val="en-US"/>
        </w:rPr>
        <w:t>第三部分 专业名词解释</w:t>
      </w:r>
    </w:p>
    <w:p>
      <w:pPr>
        <w:shd w:val="clear" w:color="auto" w:fill="FFFFFF"/>
        <w:spacing w:beforeLines="0" w:afterLines="0" w:line="360" w:lineRule="auto"/>
        <w:ind w:firstLine="640" w:firstLineChars="200"/>
        <w:rPr>
          <w:rFonts w:hint="default" w:eastAsia="Times New Roman"/>
          <w:color w:val="auto"/>
          <w:kern w:val="0"/>
          <w:sz w:val="32"/>
          <w:szCs w:val="24"/>
          <w:lang w:val="en-US"/>
        </w:rPr>
      </w:pPr>
      <w:r>
        <w:rPr>
          <w:rFonts w:hint="eastAsia" w:ascii="仿宋_GB2312" w:hAnsi="仿宋_GB2312" w:eastAsia="仿宋_GB2312"/>
          <w:color w:val="auto"/>
          <w:kern w:val="0"/>
          <w:sz w:val="32"/>
          <w:szCs w:val="24"/>
          <w:lang w:val="en-US"/>
        </w:rPr>
        <w:t>财政拨款收入：指同级财政当年拨付的资金。</w:t>
      </w:r>
    </w:p>
    <w:p>
      <w:pPr>
        <w:shd w:val="clear" w:color="auto" w:fill="FFFFFF"/>
        <w:spacing w:beforeLines="0" w:afterLines="0" w:line="360" w:lineRule="auto"/>
        <w:ind w:firstLine="640"/>
        <w:rPr>
          <w:rFonts w:hint="default" w:eastAsia="Times New Roman"/>
          <w:color w:val="auto"/>
          <w:kern w:val="0"/>
          <w:sz w:val="32"/>
          <w:szCs w:val="24"/>
          <w:lang w:val="en-US"/>
        </w:rPr>
      </w:pPr>
      <w:r>
        <w:rPr>
          <w:rFonts w:hint="eastAsia" w:ascii="仿宋_GB2312" w:hAnsi="仿宋_GB2312" w:eastAsia="仿宋_GB2312"/>
          <w:color w:val="auto"/>
          <w:kern w:val="0"/>
          <w:sz w:val="32"/>
          <w:szCs w:val="24"/>
          <w:lang w:val="en-US"/>
        </w:rPr>
        <w:t>上级补助收入：指事业单位从主管部门和上级单位取得的非财政补助收入。</w:t>
      </w:r>
    </w:p>
    <w:p>
      <w:pPr>
        <w:shd w:val="clear" w:color="auto" w:fill="FFFFFF"/>
        <w:spacing w:beforeLines="0" w:afterLines="0" w:line="360" w:lineRule="auto"/>
        <w:ind w:firstLine="640"/>
        <w:rPr>
          <w:rFonts w:hint="default" w:eastAsia="Times New Roman"/>
          <w:color w:val="auto"/>
          <w:kern w:val="0"/>
          <w:sz w:val="32"/>
          <w:szCs w:val="24"/>
          <w:lang w:val="en-US"/>
        </w:rPr>
      </w:pPr>
      <w:r>
        <w:rPr>
          <w:rFonts w:hint="eastAsia" w:ascii="仿宋_GB2312" w:hAnsi="仿宋_GB2312" w:eastAsia="仿宋_GB2312"/>
          <w:color w:val="auto"/>
          <w:kern w:val="0"/>
          <w:sz w:val="32"/>
          <w:szCs w:val="24"/>
          <w:lang w:val="en-US"/>
        </w:rPr>
        <w:t>事业收入：指事业单位开展专业业务活动及其辅助活动所取得的收入。</w:t>
      </w:r>
    </w:p>
    <w:p>
      <w:pPr>
        <w:shd w:val="clear" w:color="auto" w:fill="FFFFFF"/>
        <w:spacing w:beforeLines="0" w:afterLines="0" w:line="360" w:lineRule="auto"/>
        <w:ind w:firstLine="640"/>
        <w:rPr>
          <w:rFonts w:hint="default" w:eastAsia="Times New Roman"/>
          <w:color w:val="auto"/>
          <w:kern w:val="0"/>
          <w:sz w:val="32"/>
          <w:szCs w:val="24"/>
          <w:lang w:val="en-US"/>
        </w:rPr>
      </w:pPr>
      <w:r>
        <w:rPr>
          <w:rFonts w:hint="eastAsia" w:ascii="仿宋_GB2312" w:hAnsi="仿宋_GB2312" w:eastAsia="仿宋_GB2312"/>
          <w:color w:val="auto"/>
          <w:kern w:val="0"/>
          <w:sz w:val="32"/>
          <w:szCs w:val="24"/>
          <w:lang w:val="en-US"/>
        </w:rPr>
        <w:t>经营收入：指事业单位在专业业务活动及其辅助活动之外开展非独立核算经营活动取得的收入。</w:t>
      </w:r>
    </w:p>
    <w:p>
      <w:pPr>
        <w:shd w:val="clear" w:color="auto" w:fill="FFFFFF"/>
        <w:spacing w:beforeLines="0" w:afterLines="0" w:line="360" w:lineRule="auto"/>
        <w:ind w:firstLine="640"/>
        <w:rPr>
          <w:rFonts w:hint="default" w:eastAsia="Times New Roman"/>
          <w:color w:val="auto"/>
          <w:kern w:val="0"/>
          <w:sz w:val="32"/>
          <w:szCs w:val="24"/>
          <w:lang w:val="en-US"/>
        </w:rPr>
      </w:pPr>
      <w:r>
        <w:rPr>
          <w:rFonts w:hint="eastAsia" w:ascii="仿宋_GB2312" w:hAnsi="仿宋_GB2312" w:eastAsia="仿宋_GB2312"/>
          <w:color w:val="auto"/>
          <w:kern w:val="0"/>
          <w:sz w:val="32"/>
          <w:szCs w:val="24"/>
          <w:lang w:val="en-US"/>
        </w:rPr>
        <w:t>附属单位上缴收入：指事业单位附属的独立核算单位按有关规定上缴的收入。</w:t>
      </w:r>
    </w:p>
    <w:p>
      <w:pPr>
        <w:shd w:val="clear" w:color="auto" w:fill="FFFFFF"/>
        <w:spacing w:beforeLines="0" w:afterLines="0" w:line="360" w:lineRule="auto"/>
        <w:ind w:firstLine="640"/>
        <w:rPr>
          <w:rFonts w:hint="default" w:eastAsia="Times New Roman"/>
          <w:color w:val="auto"/>
          <w:kern w:val="0"/>
          <w:sz w:val="32"/>
          <w:szCs w:val="24"/>
          <w:lang w:val="en-US"/>
        </w:rPr>
      </w:pPr>
      <w:r>
        <w:rPr>
          <w:rFonts w:hint="eastAsia" w:ascii="仿宋_GB2312" w:hAnsi="仿宋_GB2312" w:eastAsia="仿宋_GB2312"/>
          <w:color w:val="auto"/>
          <w:kern w:val="0"/>
          <w:sz w:val="32"/>
          <w:szCs w:val="24"/>
          <w:lang w:val="en-US"/>
        </w:rPr>
        <w:t>其他收入：指除上述“财政拨款收入”、“事业收入”、“经营收入”、“附属单位上缴收入”等之外取得的收入。</w:t>
      </w:r>
    </w:p>
    <w:p>
      <w:pPr>
        <w:shd w:val="clear" w:color="auto" w:fill="FFFFFF"/>
        <w:spacing w:beforeLines="0" w:afterLines="0" w:line="360" w:lineRule="auto"/>
        <w:ind w:firstLine="640"/>
        <w:rPr>
          <w:rFonts w:hint="default" w:eastAsia="Times New Roman"/>
          <w:color w:val="auto"/>
          <w:kern w:val="0"/>
          <w:sz w:val="32"/>
          <w:szCs w:val="24"/>
          <w:lang w:val="en-US"/>
        </w:rPr>
      </w:pPr>
      <w:r>
        <w:rPr>
          <w:rFonts w:hint="eastAsia" w:ascii="仿宋_GB2312" w:hAnsi="仿宋_GB2312" w:eastAsia="仿宋_GB2312"/>
          <w:color w:val="auto"/>
          <w:kern w:val="0"/>
          <w:sz w:val="32"/>
          <w:szCs w:val="24"/>
          <w:lang w:val="en-US"/>
        </w:rPr>
        <w:t>年初结转和结余：指以前年度支出预算因客观条件变化未执行完毕、结转到本年度按有关规定继续使用的资金，既包括财政拨款结转和结余，也包括事业收入、经营收入、其他收入的结转和结余。</w:t>
      </w:r>
    </w:p>
    <w:p>
      <w:pPr>
        <w:shd w:val="clear" w:color="auto" w:fill="FFFFFF"/>
        <w:spacing w:beforeLines="0" w:afterLines="0" w:line="360" w:lineRule="auto"/>
        <w:ind w:firstLine="640"/>
        <w:rPr>
          <w:rFonts w:hint="default" w:eastAsia="Times New Roman"/>
          <w:color w:val="auto"/>
          <w:kern w:val="0"/>
          <w:sz w:val="32"/>
          <w:szCs w:val="24"/>
          <w:lang w:val="en-US"/>
        </w:rPr>
      </w:pPr>
      <w:r>
        <w:rPr>
          <w:rFonts w:hint="eastAsia" w:ascii="仿宋_GB2312" w:hAnsi="仿宋_GB2312" w:eastAsia="仿宋_GB2312"/>
          <w:color w:val="auto"/>
          <w:kern w:val="0"/>
          <w:sz w:val="32"/>
          <w:szCs w:val="24"/>
          <w:lang w:val="en-US"/>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shd w:val="clear" w:color="auto" w:fill="FFFFFF"/>
        <w:spacing w:beforeLines="0" w:afterLines="0" w:line="360" w:lineRule="auto"/>
        <w:ind w:firstLine="640"/>
        <w:rPr>
          <w:rFonts w:hint="default" w:eastAsia="Times New Roman"/>
          <w:color w:val="auto"/>
          <w:kern w:val="0"/>
          <w:sz w:val="32"/>
          <w:szCs w:val="24"/>
          <w:lang w:val="en-US"/>
        </w:rPr>
      </w:pPr>
      <w:r>
        <w:rPr>
          <w:rFonts w:hint="eastAsia" w:ascii="仿宋_GB2312" w:hAnsi="仿宋_GB2312" w:eastAsia="仿宋_GB2312"/>
          <w:color w:val="auto"/>
          <w:kern w:val="0"/>
          <w:sz w:val="32"/>
          <w:szCs w:val="24"/>
          <w:lang w:val="en-US"/>
        </w:rPr>
        <w:t>基本支出：指为保障机构正常运转、完成日常工作任务而发生的人员支出和公用支出。</w:t>
      </w:r>
    </w:p>
    <w:p>
      <w:pPr>
        <w:shd w:val="clear" w:color="auto" w:fill="FFFFFF"/>
        <w:spacing w:beforeLines="0" w:afterLines="0" w:line="360" w:lineRule="auto"/>
        <w:ind w:firstLine="640"/>
        <w:rPr>
          <w:rFonts w:hint="default" w:eastAsia="Times New Roman"/>
          <w:color w:val="auto"/>
          <w:kern w:val="0"/>
          <w:sz w:val="32"/>
          <w:szCs w:val="24"/>
          <w:lang w:val="en-US"/>
        </w:rPr>
      </w:pPr>
      <w:r>
        <w:rPr>
          <w:rFonts w:hint="eastAsia" w:ascii="仿宋_GB2312" w:hAnsi="仿宋_GB2312" w:eastAsia="仿宋_GB2312"/>
          <w:color w:val="auto"/>
          <w:kern w:val="0"/>
          <w:sz w:val="32"/>
          <w:szCs w:val="24"/>
          <w:lang w:val="en-US"/>
        </w:rPr>
        <w:t>项目支出：指在基本支出之外为完成特定行政任务和事业发展目标所发生的支出。</w:t>
      </w:r>
    </w:p>
    <w:p>
      <w:pPr>
        <w:shd w:val="clear" w:color="auto" w:fill="FFFFFF"/>
        <w:spacing w:beforeLines="0" w:afterLines="0" w:line="360" w:lineRule="auto"/>
        <w:ind w:firstLine="640"/>
        <w:rPr>
          <w:rFonts w:hint="default" w:eastAsia="Times New Roman"/>
          <w:color w:val="auto"/>
          <w:kern w:val="0"/>
          <w:sz w:val="32"/>
          <w:szCs w:val="24"/>
          <w:lang w:val="en-US"/>
        </w:rPr>
      </w:pPr>
      <w:r>
        <w:rPr>
          <w:rFonts w:hint="eastAsia" w:ascii="仿宋_GB2312" w:hAnsi="仿宋_GB2312" w:eastAsia="仿宋_GB2312"/>
          <w:color w:val="auto"/>
          <w:kern w:val="0"/>
          <w:sz w:val="32"/>
          <w:szCs w:val="24"/>
          <w:lang w:val="en-US"/>
        </w:rPr>
        <w:t>经营支出：指事业单位在专业业务活动及其辅助活动之外开展非独立核算经营活动发生的支出。</w:t>
      </w:r>
    </w:p>
    <w:p>
      <w:pPr>
        <w:shd w:val="clear" w:color="auto" w:fill="FFFFFF"/>
        <w:spacing w:beforeLines="0" w:afterLines="0" w:line="360" w:lineRule="auto"/>
        <w:ind w:firstLine="640"/>
        <w:rPr>
          <w:rFonts w:hint="default" w:eastAsia="Times New Roman"/>
          <w:color w:val="auto"/>
          <w:kern w:val="0"/>
          <w:sz w:val="32"/>
          <w:szCs w:val="24"/>
          <w:lang w:val="en-US"/>
        </w:rPr>
      </w:pPr>
      <w:r>
        <w:rPr>
          <w:rFonts w:hint="eastAsia" w:ascii="仿宋_GB2312" w:hAnsi="仿宋_GB2312" w:eastAsia="仿宋_GB2312"/>
          <w:color w:val="auto"/>
          <w:kern w:val="0"/>
          <w:sz w:val="32"/>
          <w:szCs w:val="24"/>
          <w:lang w:val="en-US"/>
        </w:rPr>
        <w:t>对附属单位补助支出：指事业单位发生的用非财政预算资金对附属单位的补助支出。</w:t>
      </w:r>
    </w:p>
    <w:p>
      <w:pPr>
        <w:shd w:val="clear" w:color="auto" w:fill="FFFFFF"/>
        <w:spacing w:beforeLines="0" w:afterLines="0" w:line="360" w:lineRule="auto"/>
        <w:ind w:firstLine="640"/>
        <w:rPr>
          <w:rFonts w:hint="default" w:eastAsia="Times New Roman"/>
          <w:color w:val="auto"/>
          <w:kern w:val="0"/>
          <w:sz w:val="32"/>
          <w:szCs w:val="24"/>
          <w:lang w:val="en-US"/>
        </w:rPr>
      </w:pPr>
      <w:r>
        <w:rPr>
          <w:rFonts w:hint="eastAsia" w:ascii="仿宋_GB2312" w:hAnsi="仿宋_GB2312" w:eastAsia="仿宋_GB2312"/>
          <w:color w:val="auto"/>
          <w:kern w:val="0"/>
          <w:sz w:val="32"/>
          <w:szCs w:val="24"/>
          <w:lang w:val="en-US"/>
        </w:rPr>
        <w:t>“三公”经费：指用一般公共预算财政拨款安排的因公出国（境）费、公务用车购置及运行费和公务接待费。其中，因公出国（境）费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hd w:val="clear" w:color="auto" w:fill="FFFFFF"/>
        <w:spacing w:beforeLines="0" w:afterLines="0" w:line="360" w:lineRule="auto"/>
        <w:ind w:firstLine="640"/>
        <w:rPr>
          <w:rFonts w:hint="default" w:eastAsia="Times New Roman"/>
          <w:color w:val="auto"/>
          <w:kern w:val="0"/>
          <w:sz w:val="32"/>
          <w:szCs w:val="24"/>
          <w:lang w:val="en-US"/>
        </w:rPr>
      </w:pPr>
      <w:r>
        <w:rPr>
          <w:rFonts w:hint="eastAsia" w:ascii="仿宋_GB2312" w:hAnsi="仿宋_GB2312" w:eastAsia="仿宋_GB2312"/>
          <w:color w:val="auto"/>
          <w:kern w:val="0"/>
          <w:sz w:val="32"/>
          <w:szCs w:val="24"/>
          <w:lang w:val="en-US"/>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hd w:val="clear" w:color="auto" w:fill="FFFFFF"/>
        <w:spacing w:before="100" w:beforeLines="0" w:afterLines="0" w:line="520" w:lineRule="exact"/>
        <w:rPr>
          <w:rFonts w:hint="default" w:eastAsia="Times New Roman"/>
          <w:color w:val="auto"/>
          <w:kern w:val="0"/>
          <w:sz w:val="24"/>
          <w:szCs w:val="24"/>
          <w:lang w:val="en-US"/>
        </w:rPr>
      </w:pPr>
    </w:p>
    <w:p>
      <w:pPr>
        <w:shd w:val="clear" w:color="auto" w:fill="FFFFFF"/>
        <w:spacing w:before="100" w:beforeLines="0" w:after="240" w:afterLines="0"/>
        <w:jc w:val="center"/>
        <w:rPr>
          <w:rFonts w:hint="default" w:eastAsia="Times New Roman"/>
          <w:color w:val="auto"/>
          <w:kern w:val="0"/>
          <w:sz w:val="32"/>
          <w:szCs w:val="24"/>
          <w:lang w:val="en-US"/>
        </w:rPr>
      </w:pPr>
      <w:r>
        <w:rPr>
          <w:rFonts w:hint="eastAsia" w:ascii="黑体" w:hAnsi="黑体" w:eastAsia="黑体"/>
          <w:color w:val="auto"/>
          <w:kern w:val="0"/>
          <w:sz w:val="32"/>
          <w:szCs w:val="24"/>
          <w:lang w:val="en-US"/>
        </w:rPr>
        <w:t>第四部分 部门决算报表（见附表）</w:t>
      </w:r>
    </w:p>
    <w:p>
      <w:pPr>
        <w:spacing w:beforeLines="0" w:afterLines="0" w:line="540" w:lineRule="exact"/>
        <w:ind w:firstLine="640"/>
        <w:rPr>
          <w:rFonts w:hint="default" w:eastAsia="Times New Roman"/>
          <w:color w:val="auto"/>
          <w:sz w:val="32"/>
          <w:szCs w:val="24"/>
          <w:lang w:val="en-US"/>
        </w:rPr>
      </w:pPr>
      <w:r>
        <w:rPr>
          <w:rFonts w:hint="eastAsia" w:ascii="黑体" w:hAnsi="黑体" w:eastAsia="黑体"/>
          <w:color w:val="auto"/>
          <w:sz w:val="32"/>
          <w:szCs w:val="24"/>
          <w:lang w:val="en-US"/>
        </w:rPr>
        <w:t>一、《收入支出决算总表》</w:t>
      </w:r>
    </w:p>
    <w:p>
      <w:pPr>
        <w:spacing w:beforeLines="0" w:afterLines="0" w:line="540" w:lineRule="exact"/>
        <w:ind w:firstLine="640"/>
        <w:rPr>
          <w:rFonts w:hint="default" w:eastAsia="Times New Roman"/>
          <w:color w:val="auto"/>
          <w:sz w:val="32"/>
          <w:szCs w:val="24"/>
          <w:lang w:val="en-US"/>
        </w:rPr>
      </w:pPr>
      <w:r>
        <w:rPr>
          <w:rFonts w:hint="eastAsia" w:ascii="黑体" w:hAnsi="黑体" w:eastAsia="黑体"/>
          <w:color w:val="auto"/>
          <w:sz w:val="32"/>
          <w:szCs w:val="24"/>
          <w:lang w:val="en-US"/>
        </w:rPr>
        <w:t>二、《收入决算表》</w:t>
      </w:r>
    </w:p>
    <w:p>
      <w:pPr>
        <w:spacing w:beforeLines="0" w:afterLines="0" w:line="540" w:lineRule="exact"/>
        <w:ind w:firstLine="640"/>
        <w:rPr>
          <w:rFonts w:hint="default" w:eastAsia="Times New Roman"/>
          <w:color w:val="auto"/>
          <w:sz w:val="32"/>
          <w:szCs w:val="24"/>
          <w:lang w:val="en-US"/>
        </w:rPr>
      </w:pPr>
      <w:r>
        <w:rPr>
          <w:rFonts w:hint="eastAsia" w:ascii="黑体" w:hAnsi="黑体" w:eastAsia="黑体"/>
          <w:color w:val="auto"/>
          <w:sz w:val="32"/>
          <w:szCs w:val="24"/>
          <w:lang w:val="en-US"/>
        </w:rPr>
        <w:t>三、《支出决算表》</w:t>
      </w:r>
    </w:p>
    <w:p>
      <w:pPr>
        <w:spacing w:beforeLines="0" w:afterLines="0" w:line="540" w:lineRule="exact"/>
        <w:ind w:firstLine="640"/>
        <w:rPr>
          <w:rFonts w:hint="default" w:eastAsia="Times New Roman"/>
          <w:color w:val="auto"/>
          <w:sz w:val="32"/>
          <w:szCs w:val="24"/>
          <w:lang w:val="en-US"/>
        </w:rPr>
      </w:pPr>
      <w:r>
        <w:rPr>
          <w:rFonts w:hint="eastAsia" w:ascii="黑体" w:hAnsi="黑体" w:eastAsia="黑体"/>
          <w:color w:val="auto"/>
          <w:sz w:val="32"/>
          <w:szCs w:val="24"/>
          <w:lang w:val="en-US"/>
        </w:rPr>
        <w:t>四、《财政拨款收入支出决算总表》</w:t>
      </w:r>
    </w:p>
    <w:p>
      <w:pPr>
        <w:spacing w:beforeLines="0" w:afterLines="0" w:line="540" w:lineRule="exact"/>
        <w:ind w:firstLine="640"/>
        <w:rPr>
          <w:rFonts w:hint="default" w:eastAsia="Times New Roman"/>
          <w:color w:val="auto"/>
          <w:sz w:val="32"/>
          <w:szCs w:val="24"/>
          <w:lang w:val="en-US"/>
        </w:rPr>
      </w:pPr>
      <w:r>
        <w:rPr>
          <w:rFonts w:hint="eastAsia" w:ascii="黑体" w:hAnsi="黑体" w:eastAsia="黑体"/>
          <w:color w:val="auto"/>
          <w:sz w:val="32"/>
          <w:szCs w:val="24"/>
          <w:lang w:val="en-US"/>
        </w:rPr>
        <w:t>五、《一般公共预算财政拨款支出决算表》</w:t>
      </w:r>
    </w:p>
    <w:p>
      <w:pPr>
        <w:spacing w:beforeLines="0" w:afterLines="0" w:line="540" w:lineRule="exact"/>
        <w:ind w:firstLine="640"/>
        <w:rPr>
          <w:rFonts w:hint="default" w:eastAsia="Times New Roman"/>
          <w:color w:val="auto"/>
          <w:sz w:val="32"/>
          <w:szCs w:val="24"/>
          <w:lang w:val="en-US"/>
        </w:rPr>
      </w:pPr>
      <w:r>
        <w:rPr>
          <w:rFonts w:hint="eastAsia" w:ascii="黑体" w:hAnsi="黑体" w:eastAsia="黑体"/>
          <w:color w:val="auto"/>
          <w:sz w:val="32"/>
          <w:szCs w:val="24"/>
          <w:lang w:val="en-US"/>
        </w:rPr>
        <w:t>六、《一般公共预算财政拨款基本支出决算表》</w:t>
      </w:r>
    </w:p>
    <w:p>
      <w:pPr>
        <w:spacing w:beforeLines="0" w:afterLines="0" w:line="540" w:lineRule="exact"/>
        <w:ind w:firstLine="640"/>
        <w:rPr>
          <w:rFonts w:hint="default" w:eastAsia="Times New Roman"/>
          <w:color w:val="auto"/>
          <w:sz w:val="32"/>
          <w:szCs w:val="24"/>
          <w:lang w:val="en-US"/>
        </w:rPr>
      </w:pPr>
      <w:r>
        <w:rPr>
          <w:rFonts w:hint="eastAsia" w:ascii="黑体" w:hAnsi="黑体" w:eastAsia="黑体"/>
          <w:color w:val="auto"/>
          <w:sz w:val="32"/>
          <w:szCs w:val="24"/>
          <w:lang w:val="en-US"/>
        </w:rPr>
        <w:t>七、《一般公共预算财政拨款“三公”经费支出决算表》</w:t>
      </w:r>
    </w:p>
    <w:p>
      <w:pPr>
        <w:spacing w:beforeLines="0" w:afterLines="0" w:line="540" w:lineRule="exact"/>
        <w:ind w:firstLine="640"/>
        <w:rPr>
          <w:rFonts w:hint="default" w:eastAsia="Times New Roman"/>
          <w:color w:val="auto"/>
          <w:kern w:val="0"/>
          <w:sz w:val="32"/>
          <w:szCs w:val="24"/>
          <w:lang w:val="en-US"/>
        </w:rPr>
      </w:pPr>
      <w:r>
        <w:rPr>
          <w:rFonts w:hint="eastAsia" w:ascii="黑体" w:hAnsi="黑体" w:eastAsia="黑体"/>
          <w:color w:val="auto"/>
          <w:sz w:val="32"/>
          <w:szCs w:val="24"/>
          <w:lang w:val="en-US"/>
        </w:rPr>
        <w:t>八、《政府性基金预算财政拨款收入支出决算表》</w:t>
      </w:r>
    </w:p>
    <w:p>
      <w:pPr>
        <w:spacing w:beforeLines="0" w:afterLines="0" w:line="540" w:lineRule="exact"/>
        <w:ind w:firstLine="640"/>
        <w:rPr>
          <w:rFonts w:hint="default" w:eastAsia="Times New Roman"/>
          <w:color w:val="auto"/>
          <w:kern w:val="0"/>
          <w:sz w:val="32"/>
          <w:szCs w:val="24"/>
          <w:lang w:val="en-US"/>
        </w:rPr>
      </w:pPr>
      <w:r>
        <w:rPr>
          <w:rFonts w:hint="eastAsia" w:ascii="黑体" w:hAnsi="黑体" w:eastAsia="黑体"/>
          <w:color w:val="auto"/>
          <w:sz w:val="32"/>
          <w:szCs w:val="24"/>
          <w:lang w:val="zh-CN"/>
        </w:rPr>
        <w:t>九</w:t>
      </w:r>
      <w:r>
        <w:rPr>
          <w:rFonts w:hint="eastAsia" w:ascii="黑体" w:hAnsi="黑体" w:eastAsia="黑体"/>
          <w:color w:val="auto"/>
          <w:sz w:val="32"/>
          <w:szCs w:val="24"/>
          <w:lang w:val="en-US"/>
        </w:rPr>
        <w:t>、《国有资本经营预算财政拨款收入支出决算表》</w:t>
      </w:r>
    </w:p>
    <w:p>
      <w:pPr>
        <w:spacing w:beforeLines="0" w:afterLines="0"/>
        <w:jc w:val="left"/>
        <w:rPr>
          <w:rFonts w:hint="default" w:eastAsia="Times New Roman"/>
          <w:color w:val="auto"/>
          <w:kern w:val="36"/>
          <w:sz w:val="40"/>
          <w:szCs w:val="24"/>
          <w:lang w:val="zh-CN"/>
        </w:rPr>
      </w:pPr>
    </w:p>
    <w:p>
      <w:pPr>
        <w:spacing w:beforeLines="0" w:afterLines="0"/>
        <w:rPr>
          <w:rFonts w:hint="default" w:eastAsia="Times New Roman"/>
          <w:color w:val="auto"/>
          <w:sz w:val="21"/>
          <w:szCs w:val="24"/>
          <w:lang w:val="en-US"/>
        </w:rPr>
      </w:pPr>
    </w:p>
    <w:p>
      <w:pPr>
        <w:spacing w:beforeLines="0" w:afterLines="0"/>
        <w:jc w:val="left"/>
        <w:rPr>
          <w:rFonts w:hint="default" w:eastAsia="Times New Roman"/>
          <w:color w:val="auto"/>
          <w:kern w:val="36"/>
          <w:sz w:val="40"/>
          <w:szCs w:val="24"/>
          <w:lang w:val="zh-CN"/>
        </w:rPr>
      </w:pPr>
    </w:p>
    <w:p>
      <w:pPr>
        <w:spacing w:beforeLines="0" w:afterLines="0"/>
        <w:rPr>
          <w:rFonts w:hint="default" w:eastAsia="Times New Roman"/>
          <w:color w:val="auto"/>
          <w:sz w:val="21"/>
          <w:szCs w:val="24"/>
          <w:lang w:val="en-US"/>
        </w:rPr>
      </w:pPr>
    </w:p>
    <w:p>
      <w:pPr>
        <w:spacing w:beforeLines="0" w:afterLines="0"/>
        <w:jc w:val="left"/>
        <w:rPr>
          <w:rFonts w:hint="default" w:eastAsia="Times New Roman"/>
          <w:color w:val="auto"/>
          <w:kern w:val="36"/>
          <w:sz w:val="40"/>
          <w:szCs w:val="24"/>
          <w:lang w:val="zh-CN"/>
        </w:rPr>
      </w:pP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284B543E"/>
    <w:rsid w:val="482E31E3"/>
    <w:rsid w:val="561D3C19"/>
    <w:rsid w:val="63AB3CC0"/>
    <w:rsid w:val="693739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0"/>
    <w:pPr>
      <w:spacing w:beforeLines="0" w:afterLines="0"/>
      <w:jc w:val="both"/>
    </w:pPr>
    <w:rPr>
      <w:rFonts w:hint="default" w:ascii="Times New Roman" w:hAnsi="Times New Roman" w:eastAsia="宋体" w:cs="Times New Roman"/>
      <w:kern w:val="2"/>
      <w:sz w:val="21"/>
      <w:szCs w:val="24"/>
    </w:rPr>
  </w:style>
  <w:style w:type="character" w:default="1" w:styleId="3">
    <w:name w:val="Default Paragraph Font"/>
    <w:unhideWhenUsed/>
    <w:uiPriority w:val="99"/>
    <w:rPr>
      <w:rFonts w:hint="default"/>
      <w:sz w:val="24"/>
      <w:szCs w:val="24"/>
    </w:rPr>
  </w:style>
  <w:style w:type="table" w:default="1" w:styleId="2">
    <w:name w:val="Normal Table"/>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2023-08-21T04:23:00Z</dcterms:created>
  <dc:creator>Administrator.PC-20200408KJYC</dc:creator>
  <cp:lastModifiedBy>峰</cp:lastModifiedBy>
  <dcterms:modified xsi:type="dcterms:W3CDTF">2024-01-26T16:20:47Z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01CD13655F63477193390471182416CA_13</vt:lpwstr>
  </property>
</Properties>
</file>