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r>
        <w:rPr>
          <w:rFonts w:hint="eastAsia" w:ascii="方正小标宋_GBK" w:hAnsi="宋体" w:eastAsia="方正小标宋_GBK"/>
          <w:sz w:val="44"/>
          <w:szCs w:val="44"/>
        </w:rPr>
        <w:t>乌鲁木齐市第九中学2022年度部门决算</w:t>
      </w:r>
    </w:p>
    <w:p>
      <w:pPr>
        <w:jc w:val="center"/>
        <w:rPr>
          <w:rFonts w:ascii="方正小标宋_GBK" w:hAnsi="宋体" w:eastAsia="方正小标宋_GBK"/>
          <w:sz w:val="44"/>
          <w:szCs w:val="44"/>
        </w:rPr>
      </w:pPr>
      <w:r>
        <w:rPr>
          <w:rFonts w:hint="eastAsia" w:ascii="方正小标宋_GBK" w:hAnsi="宋体" w:eastAsia="方正小标宋_GBK"/>
          <w:sz w:val="44"/>
          <w:szCs w:val="44"/>
        </w:rPr>
        <w:t>公开说明</w:t>
      </w:r>
    </w:p>
    <w:p>
      <w:pPr>
        <w:jc w:val="center"/>
        <w:rPr>
          <w:rFonts w:ascii="仿宋_GB2312" w:hAnsi="仿宋_GB2312" w:eastAsia="仿宋_GB2312" w:cs="仿宋_GB2312"/>
          <w:bCs/>
          <w:kern w:val="0"/>
          <w:sz w:val="32"/>
          <w:szCs w:val="32"/>
        </w:rPr>
      </w:pPr>
      <w:r>
        <w:rPr>
          <w:rFonts w:hint="eastAsia" w:ascii="方正小标宋_GBK" w:hAnsi="宋体" w:eastAsia="方正小标宋_GBK"/>
          <w:sz w:val="44"/>
          <w:szCs w:val="44"/>
        </w:rPr>
        <w:br w:type="page"/>
      </w:r>
      <w:r>
        <w:rPr>
          <w:rFonts w:hint="eastAsia" w:ascii="仿宋_GB2312" w:hAnsi="仿宋_GB2312" w:eastAsia="仿宋_GB2312" w:cs="仿宋_GB2312"/>
          <w:b/>
          <w:kern w:val="0"/>
          <w:sz w:val="36"/>
          <w:szCs w:val="36"/>
        </w:rPr>
        <w:t>目  录</w:t>
      </w:r>
    </w:p>
    <w:p>
      <w:pPr>
        <w:pStyle w:val="8"/>
        <w:tabs>
          <w:tab w:val="right" w:pos="8306"/>
        </w:tabs>
        <w:rPr>
          <w:rFonts w:ascii="仿宋_GB2312" w:hAnsi="仿宋_GB2312" w:eastAsia="仿宋_GB2312" w:cs="仿宋_GB2312"/>
          <w:b/>
          <w:bCs/>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\n  \h \u </w:instrText>
      </w:r>
      <w:r>
        <w:rPr>
          <w:rFonts w:hint="eastAsia" w:ascii="仿宋_GB2312" w:hAnsi="仿宋_GB2312" w:eastAsia="仿宋_GB2312" w:cs="仿宋_GB2312"/>
          <w:sz w:val="32"/>
          <w:szCs w:val="32"/>
        </w:rPr>
        <w:fldChar w:fldCharType="separate"/>
      </w:r>
      <w:r>
        <w:fldChar w:fldCharType="begin"/>
      </w:r>
      <w:r>
        <w:instrText xml:space="preserve"> HYPERLINK \l "_Toc32314" </w:instrText>
      </w:r>
      <w:r>
        <w:fldChar w:fldCharType="separate"/>
      </w:r>
      <w:r>
        <w:rPr>
          <w:rFonts w:hint="eastAsia" w:ascii="仿宋_GB2312" w:hAnsi="仿宋_GB2312" w:eastAsia="仿宋_GB2312" w:cs="仿宋_GB2312"/>
          <w:b/>
          <w:bCs/>
          <w:sz w:val="32"/>
          <w:szCs w:val="32"/>
        </w:rPr>
        <w:t>第一部分 单位概况</w:t>
      </w:r>
      <w:r>
        <w:rPr>
          <w:rFonts w:hint="eastAsia" w:ascii="仿宋_GB2312" w:hAnsi="仿宋_GB2312" w:eastAsia="仿宋_GB2312" w:cs="仿宋_GB2312"/>
          <w:b/>
          <w:bCs/>
          <w:sz w:val="32"/>
          <w:szCs w:val="32"/>
        </w:rPr>
        <w:fldChar w:fldCharType="end"/>
      </w:r>
    </w:p>
    <w:p>
      <w:pPr>
        <w:pStyle w:val="9"/>
        <w:tabs>
          <w:tab w:val="right" w:pos="8306"/>
        </w:tabs>
        <w:ind w:left="0" w:leftChars="0"/>
        <w:rPr>
          <w:rFonts w:ascii="仿宋_GB2312" w:hAnsi="仿宋_GB2312" w:eastAsia="仿宋_GB2312" w:cs="仿宋_GB2312"/>
          <w:sz w:val="32"/>
          <w:szCs w:val="32"/>
        </w:rPr>
      </w:pPr>
      <w:r>
        <w:fldChar w:fldCharType="begin"/>
      </w:r>
      <w:r>
        <w:instrText xml:space="preserve"> HYPERLINK \l "_Toc30567" </w:instrText>
      </w:r>
      <w:r>
        <w:fldChar w:fldCharType="separate"/>
      </w:r>
      <w:r>
        <w:rPr>
          <w:rFonts w:hint="eastAsia" w:ascii="仿宋_GB2312" w:hAnsi="仿宋_GB2312" w:eastAsia="仿宋_GB2312" w:cs="仿宋_GB2312"/>
          <w:bCs/>
          <w:kern w:val="0"/>
          <w:sz w:val="32"/>
          <w:szCs w:val="32"/>
        </w:rPr>
        <w:t>一、主要职能</w:t>
      </w:r>
      <w:r>
        <w:rPr>
          <w:rFonts w:hint="eastAsia" w:ascii="仿宋_GB2312" w:hAnsi="仿宋_GB2312" w:eastAsia="仿宋_GB2312" w:cs="仿宋_GB2312"/>
          <w:bCs/>
          <w:kern w:val="0"/>
          <w:sz w:val="32"/>
          <w:szCs w:val="32"/>
        </w:rPr>
        <w:fldChar w:fldCharType="end"/>
      </w:r>
    </w:p>
    <w:p>
      <w:pPr>
        <w:pStyle w:val="9"/>
        <w:tabs>
          <w:tab w:val="right" w:pos="8306"/>
        </w:tabs>
        <w:ind w:left="0" w:leftChars="0"/>
        <w:rPr>
          <w:rFonts w:ascii="仿宋_GB2312" w:hAnsi="仿宋_GB2312" w:eastAsia="仿宋_GB2312" w:cs="仿宋_GB2312"/>
          <w:sz w:val="32"/>
          <w:szCs w:val="32"/>
        </w:rPr>
      </w:pPr>
      <w:r>
        <w:fldChar w:fldCharType="begin"/>
      </w:r>
      <w:r>
        <w:instrText xml:space="preserve"> HYPERLINK \l "_Toc2151" </w:instrText>
      </w:r>
      <w:r>
        <w:fldChar w:fldCharType="separate"/>
      </w:r>
      <w:r>
        <w:rPr>
          <w:rFonts w:hint="eastAsia" w:ascii="仿宋_GB2312" w:hAnsi="仿宋_GB2312" w:eastAsia="仿宋_GB2312" w:cs="仿宋_GB2312"/>
          <w:bCs/>
          <w:kern w:val="0"/>
          <w:sz w:val="32"/>
          <w:szCs w:val="32"/>
        </w:rPr>
        <w:t>二、机构设置及人员情况</w:t>
      </w:r>
      <w:r>
        <w:rPr>
          <w:rFonts w:hint="eastAsia" w:ascii="仿宋_GB2312" w:hAnsi="仿宋_GB2312" w:eastAsia="仿宋_GB2312" w:cs="仿宋_GB2312"/>
          <w:bCs/>
          <w:kern w:val="0"/>
          <w:sz w:val="32"/>
          <w:szCs w:val="32"/>
        </w:rPr>
        <w:fldChar w:fldCharType="end"/>
      </w:r>
    </w:p>
    <w:p>
      <w:pPr>
        <w:pStyle w:val="8"/>
        <w:tabs>
          <w:tab w:val="right" w:pos="8306"/>
        </w:tabs>
        <w:rPr>
          <w:rFonts w:ascii="仿宋_GB2312" w:hAnsi="仿宋_GB2312" w:eastAsia="仿宋_GB2312" w:cs="仿宋_GB2312"/>
          <w:b/>
          <w:bCs/>
          <w:sz w:val="32"/>
          <w:szCs w:val="32"/>
        </w:rPr>
      </w:pPr>
      <w:r>
        <w:fldChar w:fldCharType="begin"/>
      </w:r>
      <w:r>
        <w:instrText xml:space="preserve"> HYPERLINK \l "_Toc29374" </w:instrText>
      </w:r>
      <w:r>
        <w:fldChar w:fldCharType="separate"/>
      </w:r>
      <w:r>
        <w:rPr>
          <w:rFonts w:hint="eastAsia" w:ascii="仿宋_GB2312" w:hAnsi="仿宋_GB2312" w:eastAsia="仿宋_GB2312" w:cs="仿宋_GB2312"/>
          <w:b/>
          <w:bCs/>
          <w:sz w:val="32"/>
          <w:szCs w:val="32"/>
        </w:rPr>
        <w:t>第二部分 部门决算情况说明</w:t>
      </w:r>
      <w:r>
        <w:rPr>
          <w:rFonts w:hint="eastAsia" w:ascii="仿宋_GB2312" w:hAnsi="仿宋_GB2312" w:eastAsia="仿宋_GB2312" w:cs="仿宋_GB2312"/>
          <w:b/>
          <w:bCs/>
          <w:sz w:val="32"/>
          <w:szCs w:val="32"/>
        </w:rPr>
        <w:fldChar w:fldCharType="end"/>
      </w:r>
    </w:p>
    <w:p>
      <w:pPr>
        <w:pStyle w:val="9"/>
        <w:tabs>
          <w:tab w:val="right" w:pos="8306"/>
        </w:tabs>
        <w:ind w:left="0" w:leftChars="0"/>
        <w:rPr>
          <w:rFonts w:ascii="仿宋_GB2312" w:hAnsi="仿宋_GB2312" w:eastAsia="仿宋_GB2312" w:cs="仿宋_GB2312"/>
          <w:sz w:val="32"/>
          <w:szCs w:val="32"/>
        </w:rPr>
      </w:pPr>
      <w:r>
        <w:fldChar w:fldCharType="begin"/>
      </w:r>
      <w:r>
        <w:instrText xml:space="preserve"> HYPERLINK \l "_Toc25314" </w:instrText>
      </w:r>
      <w:r>
        <w:fldChar w:fldCharType="separate"/>
      </w:r>
      <w:r>
        <w:rPr>
          <w:rFonts w:hint="eastAsia" w:ascii="仿宋_GB2312" w:hAnsi="仿宋_GB2312" w:eastAsia="仿宋_GB2312" w:cs="仿宋_GB2312"/>
          <w:bCs/>
          <w:kern w:val="0"/>
          <w:sz w:val="32"/>
          <w:szCs w:val="32"/>
        </w:rPr>
        <w:t>一、收入支出决算总体情况说明</w:t>
      </w:r>
      <w:r>
        <w:rPr>
          <w:rFonts w:hint="eastAsia" w:ascii="仿宋_GB2312" w:hAnsi="仿宋_GB2312" w:eastAsia="仿宋_GB2312" w:cs="仿宋_GB2312"/>
          <w:bCs/>
          <w:kern w:val="0"/>
          <w:sz w:val="32"/>
          <w:szCs w:val="32"/>
        </w:rPr>
        <w:fldChar w:fldCharType="end"/>
      </w:r>
    </w:p>
    <w:p>
      <w:pPr>
        <w:pStyle w:val="9"/>
        <w:tabs>
          <w:tab w:val="right" w:pos="8306"/>
        </w:tabs>
        <w:ind w:left="0" w:leftChars="0"/>
        <w:rPr>
          <w:rFonts w:ascii="仿宋_GB2312" w:hAnsi="仿宋_GB2312" w:eastAsia="仿宋_GB2312" w:cs="仿宋_GB2312"/>
          <w:sz w:val="32"/>
          <w:szCs w:val="32"/>
        </w:rPr>
      </w:pPr>
      <w:r>
        <w:fldChar w:fldCharType="begin"/>
      </w:r>
      <w:r>
        <w:instrText xml:space="preserve"> HYPERLINK \l "_Toc12142" </w:instrText>
      </w:r>
      <w:r>
        <w:fldChar w:fldCharType="separate"/>
      </w:r>
      <w:r>
        <w:rPr>
          <w:rFonts w:hint="eastAsia" w:ascii="仿宋_GB2312" w:hAnsi="仿宋_GB2312" w:eastAsia="仿宋_GB2312" w:cs="仿宋_GB2312"/>
          <w:bCs/>
          <w:kern w:val="0"/>
          <w:sz w:val="32"/>
          <w:szCs w:val="32"/>
        </w:rPr>
        <w:t>二、收入决算情况说明</w:t>
      </w:r>
      <w:r>
        <w:rPr>
          <w:rFonts w:hint="eastAsia" w:ascii="仿宋_GB2312" w:hAnsi="仿宋_GB2312" w:eastAsia="仿宋_GB2312" w:cs="仿宋_GB2312"/>
          <w:bCs/>
          <w:kern w:val="0"/>
          <w:sz w:val="32"/>
          <w:szCs w:val="32"/>
        </w:rPr>
        <w:fldChar w:fldCharType="end"/>
      </w:r>
    </w:p>
    <w:p>
      <w:pPr>
        <w:pStyle w:val="9"/>
        <w:tabs>
          <w:tab w:val="right" w:pos="8306"/>
        </w:tabs>
        <w:ind w:left="0" w:leftChars="0"/>
        <w:rPr>
          <w:rFonts w:ascii="仿宋_GB2312" w:hAnsi="仿宋_GB2312" w:eastAsia="仿宋_GB2312" w:cs="仿宋_GB2312"/>
          <w:sz w:val="32"/>
          <w:szCs w:val="32"/>
        </w:rPr>
      </w:pPr>
      <w:r>
        <w:fldChar w:fldCharType="begin"/>
      </w:r>
      <w:r>
        <w:instrText xml:space="preserve"> HYPERLINK \l "_Toc13201" </w:instrText>
      </w:r>
      <w:r>
        <w:fldChar w:fldCharType="separate"/>
      </w:r>
      <w:r>
        <w:rPr>
          <w:rFonts w:hint="eastAsia" w:ascii="仿宋_GB2312" w:hAnsi="仿宋_GB2312" w:eastAsia="仿宋_GB2312" w:cs="仿宋_GB2312"/>
          <w:bCs/>
          <w:kern w:val="0"/>
          <w:sz w:val="32"/>
          <w:szCs w:val="32"/>
        </w:rPr>
        <w:t>三、支出决算情况说明</w:t>
      </w:r>
      <w:r>
        <w:rPr>
          <w:rFonts w:hint="eastAsia" w:ascii="仿宋_GB2312" w:hAnsi="仿宋_GB2312" w:eastAsia="仿宋_GB2312" w:cs="仿宋_GB2312"/>
          <w:bCs/>
          <w:kern w:val="0"/>
          <w:sz w:val="32"/>
          <w:szCs w:val="32"/>
        </w:rPr>
        <w:fldChar w:fldCharType="end"/>
      </w:r>
    </w:p>
    <w:p>
      <w:pPr>
        <w:pStyle w:val="9"/>
        <w:tabs>
          <w:tab w:val="right" w:pos="8306"/>
        </w:tabs>
        <w:ind w:left="0" w:leftChars="0"/>
        <w:rPr>
          <w:rFonts w:ascii="仿宋_GB2312" w:hAnsi="仿宋_GB2312" w:eastAsia="仿宋_GB2312" w:cs="仿宋_GB2312"/>
          <w:sz w:val="32"/>
          <w:szCs w:val="32"/>
        </w:rPr>
      </w:pPr>
      <w:r>
        <w:fldChar w:fldCharType="begin"/>
      </w:r>
      <w:r>
        <w:instrText xml:space="preserve"> HYPERLINK \l "_Toc26564" </w:instrText>
      </w:r>
      <w:r>
        <w:fldChar w:fldCharType="separate"/>
      </w:r>
      <w:r>
        <w:rPr>
          <w:rFonts w:hint="eastAsia" w:ascii="仿宋_GB2312" w:hAnsi="仿宋_GB2312" w:eastAsia="仿宋_GB2312" w:cs="仿宋_GB2312"/>
          <w:bCs/>
          <w:kern w:val="0"/>
          <w:sz w:val="32"/>
          <w:szCs w:val="32"/>
        </w:rPr>
        <w:t>四、财政拨款收入支出决算总体情况说明</w:t>
      </w:r>
      <w:r>
        <w:rPr>
          <w:rFonts w:hint="eastAsia" w:ascii="仿宋_GB2312" w:hAnsi="仿宋_GB2312" w:eastAsia="仿宋_GB2312" w:cs="仿宋_GB2312"/>
          <w:bCs/>
          <w:kern w:val="0"/>
          <w:sz w:val="32"/>
          <w:szCs w:val="32"/>
        </w:rPr>
        <w:fldChar w:fldCharType="end"/>
      </w:r>
    </w:p>
    <w:p>
      <w:pPr>
        <w:pStyle w:val="9"/>
        <w:tabs>
          <w:tab w:val="right" w:pos="8306"/>
        </w:tabs>
        <w:ind w:left="0" w:leftChars="0"/>
        <w:rPr>
          <w:rFonts w:ascii="仿宋_GB2312" w:hAnsi="仿宋_GB2312" w:eastAsia="仿宋_GB2312" w:cs="仿宋_GB2312"/>
          <w:sz w:val="32"/>
          <w:szCs w:val="32"/>
        </w:rPr>
      </w:pPr>
      <w:r>
        <w:fldChar w:fldCharType="begin"/>
      </w:r>
      <w:r>
        <w:instrText xml:space="preserve"> HYPERLINK \l "_Toc20360" </w:instrText>
      </w:r>
      <w:r>
        <w:fldChar w:fldCharType="separate"/>
      </w:r>
      <w:r>
        <w:rPr>
          <w:rFonts w:hint="eastAsia" w:ascii="仿宋_GB2312" w:hAnsi="仿宋_GB2312" w:eastAsia="仿宋_GB2312" w:cs="仿宋_GB2312"/>
          <w:bCs/>
          <w:kern w:val="0"/>
          <w:sz w:val="32"/>
          <w:szCs w:val="32"/>
        </w:rPr>
        <w:t>五、一般公共预算财政拨款支出决算情况说明</w:t>
      </w:r>
      <w:r>
        <w:rPr>
          <w:rFonts w:hint="eastAsia" w:ascii="仿宋_GB2312" w:hAnsi="仿宋_GB2312" w:eastAsia="仿宋_GB2312" w:cs="仿宋_GB2312"/>
          <w:bCs/>
          <w:kern w:val="0"/>
          <w:sz w:val="32"/>
          <w:szCs w:val="32"/>
        </w:rPr>
        <w:fldChar w:fldCharType="end"/>
      </w:r>
    </w:p>
    <w:p>
      <w:pPr>
        <w:pStyle w:val="9"/>
        <w:tabs>
          <w:tab w:val="right" w:pos="8306"/>
        </w:tabs>
        <w:ind w:left="0" w:leftChars="0"/>
        <w:rPr>
          <w:rFonts w:ascii="仿宋_GB2312" w:hAnsi="仿宋_GB2312" w:eastAsia="仿宋_GB2312" w:cs="仿宋_GB2312"/>
          <w:sz w:val="32"/>
          <w:szCs w:val="32"/>
        </w:rPr>
      </w:pPr>
      <w:r>
        <w:fldChar w:fldCharType="begin"/>
      </w:r>
      <w:r>
        <w:instrText xml:space="preserve"> HYPERLINK \l "_Toc30870" </w:instrText>
      </w:r>
      <w:r>
        <w:fldChar w:fldCharType="separate"/>
      </w:r>
      <w:r>
        <w:rPr>
          <w:rFonts w:hint="eastAsia" w:ascii="仿宋_GB2312" w:hAnsi="仿宋_GB2312" w:eastAsia="仿宋_GB2312" w:cs="仿宋_GB2312"/>
          <w:bCs/>
          <w:kern w:val="0"/>
          <w:sz w:val="32"/>
          <w:szCs w:val="32"/>
        </w:rPr>
        <w:t>六、一般公共预算财政拨款基本支出决算情况说明</w:t>
      </w:r>
      <w:r>
        <w:rPr>
          <w:rFonts w:hint="eastAsia" w:ascii="仿宋_GB2312" w:hAnsi="仿宋_GB2312" w:eastAsia="仿宋_GB2312" w:cs="仿宋_GB2312"/>
          <w:bCs/>
          <w:kern w:val="0"/>
          <w:sz w:val="32"/>
          <w:szCs w:val="32"/>
        </w:rPr>
        <w:fldChar w:fldCharType="end"/>
      </w:r>
    </w:p>
    <w:p>
      <w:pPr>
        <w:pStyle w:val="9"/>
        <w:tabs>
          <w:tab w:val="right" w:pos="8306"/>
        </w:tabs>
        <w:ind w:left="0" w:leftChars="0"/>
        <w:rPr>
          <w:rFonts w:ascii="仿宋_GB2312" w:hAnsi="仿宋_GB2312" w:eastAsia="仿宋_GB2312" w:cs="仿宋_GB2312"/>
          <w:sz w:val="32"/>
          <w:szCs w:val="32"/>
        </w:rPr>
      </w:pPr>
      <w:r>
        <w:fldChar w:fldCharType="begin"/>
      </w:r>
      <w:r>
        <w:instrText xml:space="preserve"> HYPERLINK \l "_Toc21518" </w:instrText>
      </w:r>
      <w:r>
        <w:fldChar w:fldCharType="separate"/>
      </w:r>
      <w:r>
        <w:rPr>
          <w:rFonts w:hint="eastAsia" w:ascii="仿宋_GB2312" w:hAnsi="仿宋_GB2312" w:eastAsia="仿宋_GB2312" w:cs="仿宋_GB2312"/>
          <w:bCs/>
          <w:kern w:val="0"/>
          <w:sz w:val="32"/>
          <w:szCs w:val="32"/>
        </w:rPr>
        <w:t>七、财政拨款“三公”经费支出决算情况说明</w:t>
      </w:r>
      <w:r>
        <w:rPr>
          <w:rFonts w:hint="eastAsia" w:ascii="仿宋_GB2312" w:hAnsi="仿宋_GB2312" w:eastAsia="仿宋_GB2312" w:cs="仿宋_GB2312"/>
          <w:bCs/>
          <w:kern w:val="0"/>
          <w:sz w:val="32"/>
          <w:szCs w:val="32"/>
        </w:rPr>
        <w:fldChar w:fldCharType="end"/>
      </w:r>
    </w:p>
    <w:p>
      <w:pPr>
        <w:pStyle w:val="9"/>
        <w:tabs>
          <w:tab w:val="right" w:pos="8306"/>
        </w:tabs>
        <w:ind w:left="0" w:leftChars="0"/>
        <w:rPr>
          <w:rFonts w:ascii="仿宋_GB2312" w:hAnsi="仿宋_GB2312" w:eastAsia="仿宋_GB2312" w:cs="仿宋_GB2312"/>
          <w:sz w:val="32"/>
          <w:szCs w:val="32"/>
        </w:rPr>
      </w:pPr>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八、政府性基金预算财政拨款收入支出决算情况说明</w:t>
      </w:r>
      <w:r>
        <w:rPr>
          <w:rFonts w:hint="eastAsia" w:ascii="仿宋_GB2312" w:hAnsi="仿宋_GB2312" w:eastAsia="仿宋_GB2312" w:cs="仿宋_GB2312"/>
          <w:bCs/>
          <w:kern w:val="0"/>
          <w:sz w:val="32"/>
          <w:szCs w:val="32"/>
        </w:rPr>
        <w:fldChar w:fldCharType="end"/>
      </w:r>
    </w:p>
    <w:p>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九、国有资本经营预算财政拨款收入支出决算情况说明</w:t>
      </w:r>
      <w:r>
        <w:rPr>
          <w:rFonts w:hint="eastAsia" w:ascii="仿宋_GB2312" w:hAnsi="仿宋_GB2312" w:eastAsia="仿宋_GB2312" w:cs="仿宋_GB2312"/>
          <w:bCs/>
          <w:kern w:val="0"/>
          <w:sz w:val="32"/>
          <w:szCs w:val="32"/>
        </w:rPr>
        <w:fldChar w:fldCharType="end"/>
      </w:r>
    </w:p>
    <w:p>
      <w:pPr>
        <w:pStyle w:val="9"/>
        <w:tabs>
          <w:tab w:val="right" w:pos="8306"/>
        </w:tabs>
        <w:ind w:left="0" w:leftChars="0"/>
        <w:rPr>
          <w:rFonts w:ascii="仿宋_GB2312" w:hAnsi="仿宋_GB2312" w:eastAsia="仿宋_GB2312" w:cs="仿宋_GB2312"/>
          <w:sz w:val="32"/>
          <w:szCs w:val="32"/>
        </w:rPr>
      </w:pPr>
      <w:r>
        <w:fldChar w:fldCharType="begin"/>
      </w:r>
      <w:r>
        <w:instrText xml:space="preserve"> HYPERLINK \l "_Toc1235" </w:instrText>
      </w:r>
      <w:r>
        <w:fldChar w:fldCharType="separate"/>
      </w:r>
      <w:r>
        <w:rPr>
          <w:rFonts w:hint="eastAsia" w:ascii="仿宋_GB2312" w:hAnsi="仿宋_GB2312" w:eastAsia="仿宋_GB2312" w:cs="仿宋_GB2312"/>
          <w:sz w:val="32"/>
          <w:szCs w:val="32"/>
        </w:rPr>
        <w:t>十</w:t>
      </w:r>
      <w:r>
        <w:rPr>
          <w:rFonts w:hint="eastAsia" w:ascii="仿宋_GB2312" w:hAnsi="仿宋_GB2312" w:eastAsia="仿宋_GB2312" w:cs="仿宋_GB2312"/>
          <w:bCs/>
          <w:kern w:val="0"/>
          <w:sz w:val="32"/>
          <w:szCs w:val="32"/>
        </w:rPr>
        <w:t>、其他重要事项的情况说明</w:t>
      </w:r>
      <w:r>
        <w:rPr>
          <w:rFonts w:hint="eastAsia" w:ascii="仿宋_GB2312" w:hAnsi="仿宋_GB2312" w:eastAsia="仿宋_GB2312" w:cs="仿宋_GB2312"/>
          <w:bCs/>
          <w:kern w:val="0"/>
          <w:sz w:val="32"/>
          <w:szCs w:val="32"/>
        </w:rPr>
        <w:fldChar w:fldCharType="end"/>
      </w:r>
    </w:p>
    <w:p>
      <w:pPr>
        <w:pStyle w:val="4"/>
        <w:tabs>
          <w:tab w:val="right" w:pos="8306"/>
        </w:tabs>
        <w:ind w:left="0" w:leftChars="0"/>
        <w:rPr>
          <w:rFonts w:ascii="仿宋_GB2312" w:hAnsi="仿宋_GB2312" w:eastAsia="仿宋_GB2312" w:cs="仿宋_GB2312"/>
          <w:sz w:val="32"/>
          <w:szCs w:val="32"/>
        </w:rPr>
      </w:pPr>
      <w:r>
        <w:fldChar w:fldCharType="begin"/>
      </w:r>
      <w:r>
        <w:instrText xml:space="preserve"> HYPERLINK \l "_Toc14519" </w:instrText>
      </w:r>
      <w:r>
        <w:fldChar w:fldCharType="separate"/>
      </w:r>
      <w:r>
        <w:rPr>
          <w:rFonts w:hint="eastAsia" w:ascii="仿宋_GB2312" w:hAnsi="仿宋_GB2312" w:eastAsia="仿宋_GB2312" w:cs="仿宋_GB2312"/>
          <w:sz w:val="32"/>
          <w:szCs w:val="32"/>
        </w:rPr>
        <w:t>（一）机关运行经费支出情况</w:t>
      </w:r>
      <w:r>
        <w:rPr>
          <w:rFonts w:hint="eastAsia" w:ascii="仿宋_GB2312" w:hAnsi="仿宋_GB2312" w:eastAsia="仿宋_GB2312" w:cs="仿宋_GB2312"/>
          <w:sz w:val="32"/>
          <w:szCs w:val="32"/>
        </w:rPr>
        <w:fldChar w:fldCharType="end"/>
      </w:r>
    </w:p>
    <w:p>
      <w:pPr>
        <w:pStyle w:val="4"/>
        <w:tabs>
          <w:tab w:val="right" w:pos="8306"/>
        </w:tabs>
        <w:ind w:left="0" w:leftChars="0"/>
        <w:rPr>
          <w:rFonts w:ascii="仿宋_GB2312" w:hAnsi="仿宋_GB2312" w:eastAsia="仿宋_GB2312" w:cs="仿宋_GB2312"/>
          <w:sz w:val="32"/>
          <w:szCs w:val="32"/>
        </w:rPr>
      </w:pPr>
      <w:r>
        <w:fldChar w:fldCharType="begin"/>
      </w:r>
      <w:r>
        <w:instrText xml:space="preserve"> HYPERLINK \l "_Toc227" </w:instrText>
      </w:r>
      <w:r>
        <w:fldChar w:fldCharType="separate"/>
      </w:r>
      <w:r>
        <w:rPr>
          <w:rFonts w:hint="eastAsia" w:ascii="仿宋_GB2312" w:hAnsi="仿宋_GB2312" w:eastAsia="仿宋_GB2312" w:cs="仿宋_GB2312"/>
          <w:sz w:val="32"/>
          <w:szCs w:val="32"/>
        </w:rPr>
        <w:t>（二）政府采购情况</w:t>
      </w:r>
      <w:r>
        <w:rPr>
          <w:rFonts w:hint="eastAsia" w:ascii="仿宋_GB2312" w:hAnsi="仿宋_GB2312" w:eastAsia="仿宋_GB2312" w:cs="仿宋_GB2312"/>
          <w:sz w:val="32"/>
          <w:szCs w:val="32"/>
        </w:rPr>
        <w:fldChar w:fldCharType="end"/>
      </w:r>
    </w:p>
    <w:p>
      <w:pPr>
        <w:pStyle w:val="4"/>
        <w:tabs>
          <w:tab w:val="right" w:pos="8306"/>
        </w:tabs>
        <w:ind w:left="0" w:leftChars="0"/>
        <w:rPr>
          <w:rFonts w:ascii="仿宋_GB2312" w:hAnsi="仿宋_GB2312" w:eastAsia="仿宋_GB2312" w:cs="仿宋_GB2312"/>
          <w:sz w:val="32"/>
          <w:szCs w:val="32"/>
        </w:rPr>
      </w:pPr>
      <w:r>
        <w:fldChar w:fldCharType="begin"/>
      </w:r>
      <w:r>
        <w:instrText xml:space="preserve"> HYPERLINK \l "_Toc8391" </w:instrText>
      </w:r>
      <w:r>
        <w:fldChar w:fldCharType="separate"/>
      </w:r>
      <w:r>
        <w:rPr>
          <w:rFonts w:hint="eastAsia" w:ascii="仿宋_GB2312" w:hAnsi="仿宋_GB2312" w:eastAsia="仿宋_GB2312" w:cs="仿宋_GB2312"/>
          <w:sz w:val="32"/>
          <w:szCs w:val="32"/>
        </w:rPr>
        <w:t>（三）国有资产占用情况说明</w:t>
      </w:r>
      <w:r>
        <w:rPr>
          <w:rFonts w:hint="eastAsia" w:ascii="仿宋_GB2312" w:hAnsi="仿宋_GB2312" w:eastAsia="仿宋_GB2312" w:cs="仿宋_GB2312"/>
          <w:sz w:val="32"/>
          <w:szCs w:val="32"/>
        </w:rPr>
        <w:fldChar w:fldCharType="end"/>
      </w:r>
    </w:p>
    <w:p>
      <w:pPr>
        <w:pStyle w:val="9"/>
        <w:tabs>
          <w:tab w:val="right" w:pos="8306"/>
        </w:tabs>
        <w:ind w:left="0" w:leftChars="0"/>
        <w:rPr>
          <w:rFonts w:ascii="仿宋_GB2312" w:hAnsi="仿宋_GB2312" w:eastAsia="仿宋_GB2312" w:cs="仿宋_GB2312"/>
          <w:sz w:val="32"/>
          <w:szCs w:val="32"/>
        </w:rPr>
      </w:pPr>
      <w:r>
        <w:fldChar w:fldCharType="begin"/>
      </w:r>
      <w:r>
        <w:instrText xml:space="preserve"> HYPERLINK \l "_Toc11283" </w:instrText>
      </w:r>
      <w:r>
        <w:fldChar w:fldCharType="separate"/>
      </w:r>
      <w:r>
        <w:rPr>
          <w:rFonts w:hint="eastAsia" w:ascii="仿宋_GB2312" w:hAnsi="仿宋_GB2312" w:eastAsia="仿宋_GB2312" w:cs="仿宋_GB2312"/>
          <w:bCs/>
          <w:kern w:val="0"/>
          <w:sz w:val="32"/>
          <w:szCs w:val="32"/>
        </w:rPr>
        <w:t>十一、预算绩效的情况说明</w:t>
      </w:r>
      <w:r>
        <w:rPr>
          <w:rFonts w:hint="eastAsia" w:ascii="仿宋_GB2312" w:hAnsi="仿宋_GB2312" w:eastAsia="仿宋_GB2312" w:cs="仿宋_GB2312"/>
          <w:bCs/>
          <w:kern w:val="0"/>
          <w:sz w:val="32"/>
          <w:szCs w:val="32"/>
        </w:rPr>
        <w:fldChar w:fldCharType="end"/>
      </w:r>
    </w:p>
    <w:p>
      <w:pPr>
        <w:pStyle w:val="8"/>
        <w:tabs>
          <w:tab w:val="right" w:pos="8306"/>
        </w:tabs>
        <w:rPr>
          <w:rFonts w:ascii="仿宋_GB2312" w:hAnsi="仿宋_GB2312" w:eastAsia="仿宋_GB2312" w:cs="仿宋_GB2312"/>
          <w:b/>
          <w:bCs/>
          <w:sz w:val="32"/>
          <w:szCs w:val="32"/>
        </w:rPr>
      </w:pPr>
      <w:r>
        <w:fldChar w:fldCharType="begin"/>
      </w:r>
      <w:r>
        <w:instrText xml:space="preserve"> HYPERLINK \l "_Toc3250" </w:instrText>
      </w:r>
      <w:r>
        <w:fldChar w:fldCharType="separate"/>
      </w:r>
      <w:r>
        <w:rPr>
          <w:rFonts w:hint="eastAsia" w:ascii="仿宋_GB2312" w:hAnsi="仿宋_GB2312" w:eastAsia="仿宋_GB2312" w:cs="仿宋_GB2312"/>
          <w:b/>
          <w:bCs/>
          <w:sz w:val="32"/>
          <w:szCs w:val="32"/>
        </w:rPr>
        <w:t>第三部分 专业名词解释</w:t>
      </w:r>
      <w:r>
        <w:rPr>
          <w:rFonts w:hint="eastAsia" w:ascii="仿宋_GB2312" w:hAnsi="仿宋_GB2312" w:eastAsia="仿宋_GB2312" w:cs="仿宋_GB2312"/>
          <w:b/>
          <w:bCs/>
          <w:sz w:val="32"/>
          <w:szCs w:val="32"/>
        </w:rPr>
        <w:fldChar w:fldCharType="end"/>
      </w:r>
    </w:p>
    <w:p>
      <w:pPr>
        <w:pStyle w:val="8"/>
        <w:tabs>
          <w:tab w:val="right" w:pos="8306"/>
        </w:tabs>
        <w:rPr>
          <w:rFonts w:ascii="仿宋_GB2312" w:hAnsi="仿宋_GB2312" w:eastAsia="仿宋_GB2312" w:cs="仿宋_GB2312"/>
          <w:b/>
          <w:bCs/>
          <w:sz w:val="32"/>
          <w:szCs w:val="32"/>
        </w:rPr>
      </w:pPr>
      <w:r>
        <w:fldChar w:fldCharType="begin"/>
      </w:r>
      <w:r>
        <w:instrText xml:space="preserve"> HYPERLINK \l "_Toc22784" </w:instrText>
      </w:r>
      <w:r>
        <w:fldChar w:fldCharType="separate"/>
      </w:r>
      <w:r>
        <w:rPr>
          <w:rFonts w:hint="eastAsia" w:ascii="仿宋_GB2312" w:hAnsi="仿宋_GB2312" w:eastAsia="仿宋_GB2312" w:cs="仿宋_GB2312"/>
          <w:b/>
          <w:bCs/>
          <w:sz w:val="32"/>
          <w:szCs w:val="32"/>
        </w:rPr>
        <w:t>第四部分 部门决算报表（见附表）</w:t>
      </w:r>
      <w:r>
        <w:rPr>
          <w:rFonts w:hint="eastAsia" w:ascii="仿宋_GB2312" w:hAnsi="仿宋_GB2312" w:eastAsia="仿宋_GB2312" w:cs="仿宋_GB2312"/>
          <w:b/>
          <w:bCs/>
          <w:sz w:val="32"/>
          <w:szCs w:val="32"/>
        </w:rPr>
        <w:fldChar w:fldCharType="end"/>
      </w:r>
    </w:p>
    <w:p>
      <w:pPr>
        <w:pStyle w:val="9"/>
        <w:tabs>
          <w:tab w:val="right" w:pos="8306"/>
        </w:tabs>
        <w:ind w:left="0" w:leftChars="0"/>
        <w:rPr>
          <w:rFonts w:ascii="仿宋_GB2312" w:hAnsi="仿宋_GB2312" w:eastAsia="仿宋_GB2312" w:cs="仿宋_GB2312"/>
          <w:sz w:val="32"/>
          <w:szCs w:val="32"/>
        </w:rPr>
      </w:pPr>
      <w:r>
        <w:fldChar w:fldCharType="begin"/>
      </w:r>
      <w:r>
        <w:instrText xml:space="preserve"> HYPERLINK \l "_Toc2183" </w:instrText>
      </w:r>
      <w:r>
        <w:fldChar w:fldCharType="separate"/>
      </w:r>
      <w:r>
        <w:rPr>
          <w:rFonts w:hint="eastAsia" w:ascii="仿宋_GB2312" w:hAnsi="仿宋_GB2312" w:eastAsia="仿宋_GB2312" w:cs="仿宋_GB2312"/>
          <w:bCs/>
          <w:kern w:val="0"/>
          <w:sz w:val="32"/>
          <w:szCs w:val="32"/>
        </w:rPr>
        <w:t>一、《收入支出决算总表》</w:t>
      </w:r>
      <w:r>
        <w:rPr>
          <w:rFonts w:hint="eastAsia" w:ascii="仿宋_GB2312" w:hAnsi="仿宋_GB2312" w:eastAsia="仿宋_GB2312" w:cs="仿宋_GB2312"/>
          <w:bCs/>
          <w:kern w:val="0"/>
          <w:sz w:val="32"/>
          <w:szCs w:val="32"/>
        </w:rPr>
        <w:fldChar w:fldCharType="end"/>
      </w:r>
    </w:p>
    <w:p>
      <w:pPr>
        <w:pStyle w:val="9"/>
        <w:tabs>
          <w:tab w:val="right" w:pos="8306"/>
        </w:tabs>
        <w:ind w:left="0" w:leftChars="0"/>
        <w:rPr>
          <w:rFonts w:ascii="仿宋_GB2312" w:hAnsi="仿宋_GB2312" w:eastAsia="仿宋_GB2312" w:cs="仿宋_GB2312"/>
          <w:sz w:val="32"/>
          <w:szCs w:val="32"/>
        </w:rPr>
      </w:pPr>
      <w:r>
        <w:fldChar w:fldCharType="begin"/>
      </w:r>
      <w:r>
        <w:instrText xml:space="preserve"> HYPERLINK \l "_Toc24532" </w:instrText>
      </w:r>
      <w:r>
        <w:fldChar w:fldCharType="separate"/>
      </w:r>
      <w:r>
        <w:rPr>
          <w:rFonts w:hint="eastAsia" w:ascii="仿宋_GB2312" w:hAnsi="仿宋_GB2312" w:eastAsia="仿宋_GB2312" w:cs="仿宋_GB2312"/>
          <w:bCs/>
          <w:kern w:val="0"/>
          <w:sz w:val="32"/>
          <w:szCs w:val="32"/>
        </w:rPr>
        <w:t>二、《收入决算表》</w:t>
      </w:r>
      <w:r>
        <w:rPr>
          <w:rFonts w:hint="eastAsia" w:ascii="仿宋_GB2312" w:hAnsi="仿宋_GB2312" w:eastAsia="仿宋_GB2312" w:cs="仿宋_GB2312"/>
          <w:bCs/>
          <w:kern w:val="0"/>
          <w:sz w:val="32"/>
          <w:szCs w:val="32"/>
        </w:rPr>
        <w:fldChar w:fldCharType="end"/>
      </w:r>
    </w:p>
    <w:p>
      <w:pPr>
        <w:pStyle w:val="9"/>
        <w:tabs>
          <w:tab w:val="right" w:pos="8306"/>
        </w:tabs>
        <w:ind w:left="0" w:leftChars="0"/>
        <w:rPr>
          <w:rFonts w:ascii="仿宋_GB2312" w:hAnsi="仿宋_GB2312" w:eastAsia="仿宋_GB2312" w:cs="仿宋_GB2312"/>
          <w:sz w:val="32"/>
          <w:szCs w:val="32"/>
        </w:rPr>
      </w:pPr>
      <w:r>
        <w:fldChar w:fldCharType="begin"/>
      </w:r>
      <w:r>
        <w:instrText xml:space="preserve"> HYPERLINK \l "_Toc32434" </w:instrText>
      </w:r>
      <w:r>
        <w:fldChar w:fldCharType="separate"/>
      </w:r>
      <w:r>
        <w:rPr>
          <w:rFonts w:hint="eastAsia" w:ascii="仿宋_GB2312" w:hAnsi="仿宋_GB2312" w:eastAsia="仿宋_GB2312" w:cs="仿宋_GB2312"/>
          <w:bCs/>
          <w:kern w:val="0"/>
          <w:sz w:val="32"/>
          <w:szCs w:val="32"/>
        </w:rPr>
        <w:t>三、《支出决算表》</w:t>
      </w:r>
      <w:r>
        <w:rPr>
          <w:rFonts w:hint="eastAsia" w:ascii="仿宋_GB2312" w:hAnsi="仿宋_GB2312" w:eastAsia="仿宋_GB2312" w:cs="仿宋_GB2312"/>
          <w:bCs/>
          <w:kern w:val="0"/>
          <w:sz w:val="32"/>
          <w:szCs w:val="32"/>
        </w:rPr>
        <w:fldChar w:fldCharType="end"/>
      </w:r>
    </w:p>
    <w:p>
      <w:pPr>
        <w:pStyle w:val="9"/>
        <w:tabs>
          <w:tab w:val="right" w:pos="8306"/>
        </w:tabs>
        <w:ind w:left="0" w:leftChars="0"/>
        <w:rPr>
          <w:rFonts w:ascii="仿宋_GB2312" w:hAnsi="仿宋_GB2312" w:eastAsia="仿宋_GB2312" w:cs="仿宋_GB2312"/>
          <w:sz w:val="32"/>
          <w:szCs w:val="32"/>
        </w:rPr>
      </w:pPr>
      <w:r>
        <w:fldChar w:fldCharType="begin"/>
      </w:r>
      <w:r>
        <w:instrText xml:space="preserve"> HYPERLINK \l "_Toc28786" </w:instrText>
      </w:r>
      <w:r>
        <w:fldChar w:fldCharType="separate"/>
      </w:r>
      <w:r>
        <w:rPr>
          <w:rFonts w:hint="eastAsia" w:ascii="仿宋_GB2312" w:hAnsi="仿宋_GB2312" w:eastAsia="仿宋_GB2312" w:cs="仿宋_GB2312"/>
          <w:bCs/>
          <w:kern w:val="0"/>
          <w:sz w:val="32"/>
          <w:szCs w:val="32"/>
        </w:rPr>
        <w:t>四、《财政拨款收入支出决算总表》</w:t>
      </w:r>
      <w:r>
        <w:rPr>
          <w:rFonts w:hint="eastAsia" w:ascii="仿宋_GB2312" w:hAnsi="仿宋_GB2312" w:eastAsia="仿宋_GB2312" w:cs="仿宋_GB2312"/>
          <w:bCs/>
          <w:kern w:val="0"/>
          <w:sz w:val="32"/>
          <w:szCs w:val="32"/>
        </w:rPr>
        <w:fldChar w:fldCharType="end"/>
      </w:r>
    </w:p>
    <w:p>
      <w:pPr>
        <w:pStyle w:val="9"/>
        <w:tabs>
          <w:tab w:val="right" w:pos="8306"/>
        </w:tabs>
        <w:ind w:left="0" w:leftChars="0"/>
        <w:rPr>
          <w:rFonts w:ascii="仿宋_GB2312" w:hAnsi="仿宋_GB2312" w:eastAsia="仿宋_GB2312" w:cs="仿宋_GB2312"/>
          <w:sz w:val="32"/>
          <w:szCs w:val="32"/>
        </w:rPr>
      </w:pPr>
      <w:r>
        <w:fldChar w:fldCharType="begin"/>
      </w:r>
      <w:r>
        <w:instrText xml:space="preserve"> HYPERLINK \l "_Toc14869" </w:instrText>
      </w:r>
      <w:r>
        <w:fldChar w:fldCharType="separate"/>
      </w:r>
      <w:r>
        <w:rPr>
          <w:rFonts w:hint="eastAsia" w:ascii="仿宋_GB2312" w:hAnsi="仿宋_GB2312" w:eastAsia="仿宋_GB2312" w:cs="仿宋_GB2312"/>
          <w:bCs/>
          <w:kern w:val="0"/>
          <w:sz w:val="32"/>
          <w:szCs w:val="32"/>
        </w:rPr>
        <w:t>五、《一般公共预算财政拨款支出决算表》</w:t>
      </w:r>
      <w:r>
        <w:rPr>
          <w:rFonts w:hint="eastAsia" w:ascii="仿宋_GB2312" w:hAnsi="仿宋_GB2312" w:eastAsia="仿宋_GB2312" w:cs="仿宋_GB2312"/>
          <w:bCs/>
          <w:kern w:val="0"/>
          <w:sz w:val="32"/>
          <w:szCs w:val="32"/>
        </w:rPr>
        <w:fldChar w:fldCharType="end"/>
      </w:r>
    </w:p>
    <w:p>
      <w:pPr>
        <w:pStyle w:val="9"/>
        <w:tabs>
          <w:tab w:val="right" w:pos="8306"/>
        </w:tabs>
        <w:ind w:left="0" w:leftChars="0"/>
        <w:rPr>
          <w:rFonts w:ascii="仿宋_GB2312" w:hAnsi="仿宋_GB2312" w:eastAsia="仿宋_GB2312" w:cs="仿宋_GB2312"/>
          <w:sz w:val="32"/>
          <w:szCs w:val="32"/>
        </w:rPr>
      </w:pPr>
      <w:r>
        <w:fldChar w:fldCharType="begin"/>
      </w:r>
      <w:r>
        <w:instrText xml:space="preserve"> HYPERLINK \l "_Toc8884" </w:instrText>
      </w:r>
      <w:r>
        <w:fldChar w:fldCharType="separate"/>
      </w:r>
      <w:r>
        <w:rPr>
          <w:rFonts w:hint="eastAsia" w:ascii="仿宋_GB2312" w:hAnsi="仿宋_GB2312" w:eastAsia="仿宋_GB2312" w:cs="仿宋_GB2312"/>
          <w:bCs/>
          <w:kern w:val="0"/>
          <w:sz w:val="32"/>
          <w:szCs w:val="32"/>
        </w:rPr>
        <w:t>六、《一般公共预算财政拨款基本支出决算表》</w:t>
      </w:r>
      <w:r>
        <w:rPr>
          <w:rFonts w:hint="eastAsia" w:ascii="仿宋_GB2312" w:hAnsi="仿宋_GB2312" w:eastAsia="仿宋_GB2312" w:cs="仿宋_GB2312"/>
          <w:bCs/>
          <w:kern w:val="0"/>
          <w:sz w:val="32"/>
          <w:szCs w:val="32"/>
        </w:rPr>
        <w:fldChar w:fldCharType="end"/>
      </w:r>
    </w:p>
    <w:p>
      <w:pPr>
        <w:pStyle w:val="9"/>
        <w:tabs>
          <w:tab w:val="right" w:pos="8306"/>
        </w:tabs>
        <w:ind w:left="0" w:leftChars="0"/>
        <w:rPr>
          <w:rFonts w:ascii="仿宋_GB2312" w:hAnsi="仿宋_GB2312" w:eastAsia="仿宋_GB2312" w:cs="仿宋_GB2312"/>
          <w:sz w:val="32"/>
          <w:szCs w:val="32"/>
        </w:rPr>
      </w:pPr>
      <w:r>
        <w:fldChar w:fldCharType="begin"/>
      </w:r>
      <w:r>
        <w:instrText xml:space="preserve"> HYPERLINK \l "_Toc29106" </w:instrText>
      </w:r>
      <w:r>
        <w:fldChar w:fldCharType="separate"/>
      </w:r>
      <w:r>
        <w:rPr>
          <w:rFonts w:hint="eastAsia" w:ascii="仿宋_GB2312" w:hAnsi="仿宋_GB2312" w:eastAsia="仿宋_GB2312" w:cs="仿宋_GB2312"/>
          <w:bCs/>
          <w:kern w:val="0"/>
          <w:sz w:val="32"/>
          <w:szCs w:val="32"/>
        </w:rPr>
        <w:t>七、《财政拨款“三公”经费支出决算表》</w:t>
      </w:r>
      <w:r>
        <w:rPr>
          <w:rFonts w:hint="eastAsia" w:ascii="仿宋_GB2312" w:hAnsi="仿宋_GB2312" w:eastAsia="仿宋_GB2312" w:cs="仿宋_GB2312"/>
          <w:bCs/>
          <w:kern w:val="0"/>
          <w:sz w:val="32"/>
          <w:szCs w:val="32"/>
        </w:rPr>
        <w:fldChar w:fldCharType="end"/>
      </w:r>
    </w:p>
    <w:p>
      <w:pPr>
        <w:pStyle w:val="9"/>
        <w:tabs>
          <w:tab w:val="right" w:pos="8306"/>
        </w:tabs>
        <w:ind w:left="0" w:leftChars="0"/>
        <w:rPr>
          <w:rFonts w:ascii="仿宋_GB2312" w:hAnsi="仿宋_GB2312" w:eastAsia="仿宋_GB2312" w:cs="仿宋_GB2312"/>
          <w:bCs/>
          <w:kern w:val="0"/>
          <w:sz w:val="32"/>
          <w:szCs w:val="32"/>
        </w:rPr>
      </w:pPr>
      <w:r>
        <w:fldChar w:fldCharType="begin"/>
      </w:r>
      <w:r>
        <w:instrText xml:space="preserve"> HYPERLINK \l "_Toc7643" </w:instrText>
      </w:r>
      <w:r>
        <w:fldChar w:fldCharType="separate"/>
      </w:r>
      <w:r>
        <w:rPr>
          <w:rFonts w:hint="eastAsia" w:ascii="仿宋_GB2312" w:hAnsi="仿宋_GB2312" w:eastAsia="仿宋_GB2312" w:cs="仿宋_GB2312"/>
          <w:bCs/>
          <w:kern w:val="0"/>
          <w:sz w:val="32"/>
          <w:szCs w:val="32"/>
        </w:rPr>
        <w:t>八、《政府性基金预算财政拨款收入支出决算表》</w:t>
      </w:r>
      <w:r>
        <w:rPr>
          <w:rFonts w:hint="eastAsia" w:ascii="仿宋_GB2312" w:hAnsi="仿宋_GB2312" w:eastAsia="仿宋_GB2312" w:cs="仿宋_GB2312"/>
          <w:bCs/>
          <w:kern w:val="0"/>
          <w:sz w:val="32"/>
          <w:szCs w:val="32"/>
        </w:rPr>
        <w:fldChar w:fldCharType="end"/>
      </w:r>
    </w:p>
    <w:p>
      <w:pPr>
        <w:pStyle w:val="9"/>
        <w:tabs>
          <w:tab w:val="right" w:pos="8306"/>
        </w:tabs>
        <w:ind w:left="0" w:left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九、《国有资本经营预算财政拨款收入支出决算表》</w:t>
      </w:r>
    </w:p>
    <w:p>
      <w:r>
        <w:rPr>
          <w:rFonts w:hint="eastAsia" w:ascii="仿宋_GB2312" w:hAnsi="仿宋_GB2312" w:eastAsia="仿宋_GB2312" w:cs="仿宋_GB2312"/>
          <w:sz w:val="32"/>
          <w:szCs w:val="32"/>
        </w:rPr>
        <w:fldChar w:fldCharType="end"/>
      </w:r>
    </w:p>
    <w:p>
      <w:pPr>
        <w:ind w:firstLine="640" w:firstLineChars="200"/>
        <w:jc w:val="center"/>
        <w:outlineLvl w:val="0"/>
        <w:rPr>
          <w:rFonts w:ascii="黑体" w:hAnsi="黑体" w:eastAsia="黑体"/>
          <w:sz w:val="32"/>
          <w:szCs w:val="32"/>
        </w:rPr>
      </w:pPr>
      <w:r>
        <w:rPr>
          <w:rFonts w:hint="eastAsia" w:ascii="仿宋_GB2312" w:eastAsia="仿宋_GB2312"/>
          <w:sz w:val="32"/>
          <w:szCs w:val="32"/>
        </w:rPr>
        <w:br w:type="page"/>
      </w:r>
      <w:bookmarkStart w:id="0" w:name="_Toc24028"/>
      <w:bookmarkStart w:id="1" w:name="_Toc32314"/>
      <w:r>
        <w:rPr>
          <w:rFonts w:hint="eastAsia" w:ascii="黑体" w:hAnsi="黑体" w:eastAsia="黑体"/>
          <w:sz w:val="32"/>
          <w:szCs w:val="32"/>
        </w:rPr>
        <w:t>第一部分 单位概况</w:t>
      </w:r>
      <w:bookmarkEnd w:id="0"/>
      <w:bookmarkEnd w:id="1"/>
    </w:p>
    <w:p>
      <w:pPr>
        <w:ind w:firstLine="640" w:firstLineChars="200"/>
        <w:outlineLvl w:val="1"/>
        <w:rPr>
          <w:rFonts w:ascii="黑体" w:hAnsi="黑体" w:eastAsia="黑体" w:cs="宋体"/>
          <w:bCs/>
          <w:kern w:val="0"/>
          <w:sz w:val="32"/>
          <w:szCs w:val="32"/>
        </w:rPr>
      </w:pPr>
      <w:bookmarkStart w:id="2" w:name="_Toc30738"/>
      <w:bookmarkStart w:id="3" w:name="_Toc30567"/>
      <w:r>
        <w:rPr>
          <w:rFonts w:hint="eastAsia" w:ascii="黑体" w:hAnsi="黑体" w:eastAsia="黑体" w:cs="宋体"/>
          <w:bCs/>
          <w:kern w:val="0"/>
          <w:sz w:val="32"/>
          <w:szCs w:val="32"/>
        </w:rPr>
        <w:t>一、主要职能</w:t>
      </w:r>
      <w:bookmarkEnd w:id="2"/>
      <w:bookmarkEnd w:id="3"/>
    </w:p>
    <w:p>
      <w:pPr>
        <w:rPr>
          <w:rFonts w:ascii="黑体" w:hAnsi="黑体" w:eastAsia="黑体" w:cs="宋体"/>
          <w:bCs/>
          <w:kern w:val="0"/>
          <w:sz w:val="32"/>
          <w:szCs w:val="32"/>
        </w:rPr>
      </w:pPr>
      <w:bookmarkStart w:id="4" w:name="_Toc31238"/>
      <w:bookmarkStart w:id="5" w:name="_Toc2151"/>
      <w:r>
        <w:rPr>
          <w:rFonts w:ascii="仿宋_GB2312" w:eastAsia="仿宋_GB2312"/>
          <w:sz w:val="32"/>
          <w:szCs w:val="32"/>
        </w:rPr>
        <w:t>　　1、实施初、高中学历教育。促进基础教育发展。</w:t>
      </w:r>
      <w:r>
        <w:rPr>
          <w:rFonts w:ascii="仿宋_GB2312" w:eastAsia="仿宋_GB2312"/>
          <w:sz w:val="32"/>
          <w:szCs w:val="32"/>
        </w:rPr>
        <w:br w:type="textWrapping"/>
      </w:r>
      <w:r>
        <w:rPr>
          <w:rFonts w:ascii="仿宋_GB2312" w:eastAsia="仿宋_GB2312"/>
          <w:sz w:val="32"/>
          <w:szCs w:val="32"/>
        </w:rPr>
        <w:t>　　2、全面贯彻执行党和国家的教育方针、政策、法规，坚持正确的政治方向，按教育规律办学，不断提高教育质量。</w:t>
      </w:r>
      <w:r>
        <w:rPr>
          <w:rFonts w:ascii="仿宋_GB2312" w:eastAsia="仿宋_GB2312"/>
          <w:sz w:val="32"/>
          <w:szCs w:val="32"/>
        </w:rPr>
        <w:br w:type="textWrapping"/>
      </w:r>
      <w:r>
        <w:rPr>
          <w:rFonts w:ascii="仿宋_GB2312" w:eastAsia="仿宋_GB2312"/>
          <w:sz w:val="32"/>
          <w:szCs w:val="32"/>
        </w:rPr>
        <w:t>　　3、坚持学校工作以教学为主，按照国家统一编制的教学计划、教学大纲，遵循教学规律组织教学，建立完善教学管理系统，抓好教学常规管理，努力提高教学质量。</w:t>
      </w:r>
      <w:r>
        <w:rPr>
          <w:rFonts w:ascii="仿宋_GB2312" w:eastAsia="仿宋_GB2312"/>
          <w:sz w:val="32"/>
          <w:szCs w:val="32"/>
        </w:rPr>
        <w:br w:type="textWrapping"/>
      </w:r>
      <w:r>
        <w:rPr>
          <w:rFonts w:ascii="仿宋_GB2312" w:eastAsia="仿宋_GB2312"/>
          <w:sz w:val="32"/>
          <w:szCs w:val="32"/>
        </w:rPr>
        <w:t>　　4、重视教师队伍建设，加强教师队伍的管理，组织教师学习政治理论、文化业务知识。不断提高教师的政治思想、职业道德、文化业务素质，充分调动他们教书育人的主动性、积极性和创造性。</w:t>
      </w:r>
      <w:r>
        <w:rPr>
          <w:rFonts w:ascii="仿宋_GB2312" w:eastAsia="仿宋_GB2312"/>
          <w:sz w:val="32"/>
          <w:szCs w:val="32"/>
        </w:rPr>
        <w:br w:type="textWrapping"/>
      </w:r>
      <w:r>
        <w:rPr>
          <w:rFonts w:ascii="仿宋_GB2312" w:eastAsia="仿宋_GB2312"/>
          <w:sz w:val="32"/>
          <w:szCs w:val="32"/>
        </w:rPr>
        <w:t>　　5、组织开展教育教学科研和教育教学改革，以科学的发展观和以人为本的管理理念注重学生的全面发展。</w:t>
      </w:r>
      <w:r>
        <w:rPr>
          <w:rFonts w:ascii="仿宋_GB2312" w:eastAsia="仿宋_GB2312"/>
          <w:sz w:val="32"/>
          <w:szCs w:val="32"/>
        </w:rPr>
        <w:br w:type="textWrapping"/>
      </w:r>
      <w:r>
        <w:rPr>
          <w:rFonts w:ascii="仿宋_GB2312" w:eastAsia="仿宋_GB2312"/>
          <w:sz w:val="32"/>
          <w:szCs w:val="32"/>
        </w:rPr>
        <w:t>　　6、坚持中国特色社会主义教育发展道路，培养德智体美劳全面发展的社会主义建设者和接班人。</w:t>
      </w:r>
      <w:r>
        <w:rPr>
          <w:rFonts w:ascii="仿宋_GB2312" w:eastAsia="仿宋_GB2312"/>
          <w:sz w:val="32"/>
          <w:szCs w:val="32"/>
        </w:rPr>
        <w:br w:type="textWrapping"/>
      </w:r>
      <w:r>
        <w:rPr>
          <w:rFonts w:ascii="仿宋_GB2312" w:eastAsia="仿宋_GB2312"/>
          <w:sz w:val="32"/>
          <w:szCs w:val="32"/>
        </w:rPr>
        <w:t>　　7、学校传承“以人为本”文化，建设和谐、文明、发展型学校，为国家培养各种高素质的发展型、开拓型人才。</w:t>
      </w:r>
      <w:r>
        <w:rPr>
          <w:rFonts w:ascii="仿宋_GB2312" w:eastAsia="仿宋_GB2312"/>
          <w:sz w:val="32"/>
          <w:szCs w:val="32"/>
        </w:rPr>
        <w:br w:type="textWrapping"/>
      </w:r>
      <w:r>
        <w:rPr>
          <w:rFonts w:ascii="仿宋_GB2312" w:eastAsia="仿宋_GB2312"/>
          <w:sz w:val="32"/>
          <w:szCs w:val="32"/>
        </w:rPr>
        <w:t>　　8、打造特色品牌,不断活跃校园文化生活；改善硬件条件，注重校园文化建设，把学校教学、美术、音乐、体育等特色教育推向历史新高度</w:t>
      </w:r>
      <w:r>
        <w:rPr>
          <w:rFonts w:hint="eastAsia" w:ascii="仿宋_GB2312" w:eastAsia="仿宋_GB2312"/>
          <w:sz w:val="32"/>
          <w:szCs w:val="32"/>
        </w:rPr>
        <w:t>。</w:t>
      </w:r>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二、机构设置及</w:t>
      </w:r>
      <w:bookmarkEnd w:id="4"/>
      <w:r>
        <w:rPr>
          <w:rFonts w:hint="eastAsia" w:ascii="黑体" w:hAnsi="黑体" w:eastAsia="黑体" w:cs="宋体"/>
          <w:bCs/>
          <w:kern w:val="0"/>
          <w:sz w:val="32"/>
          <w:szCs w:val="32"/>
        </w:rPr>
        <w:t>人员情况</w:t>
      </w:r>
      <w:bookmarkEnd w:id="5"/>
    </w:p>
    <w:p>
      <w:pPr>
        <w:ind w:firstLine="640" w:firstLineChars="200"/>
        <w:rPr>
          <w:rFonts w:ascii="仿宋_GB2312" w:eastAsia="仿宋_GB2312"/>
          <w:sz w:val="32"/>
          <w:szCs w:val="32"/>
        </w:rPr>
      </w:pPr>
      <w:r>
        <w:rPr>
          <w:rFonts w:hint="eastAsia" w:ascii="仿宋_GB2312" w:eastAsia="仿宋_GB2312"/>
          <w:sz w:val="32"/>
          <w:szCs w:val="32"/>
        </w:rPr>
        <w:t>乌鲁木齐市第九中学</w:t>
      </w:r>
      <w:r>
        <w:rPr>
          <w:rFonts w:ascii="仿宋_GB2312" w:eastAsia="仿宋_GB2312"/>
          <w:sz w:val="32"/>
          <w:szCs w:val="32"/>
        </w:rPr>
        <w:t>2022</w:t>
      </w:r>
      <w:r>
        <w:rPr>
          <w:rFonts w:hint="eastAsia" w:ascii="仿宋_GB2312" w:eastAsia="仿宋_GB2312"/>
          <w:sz w:val="32"/>
          <w:szCs w:val="32"/>
        </w:rPr>
        <w:t>年度，实有人数</w:t>
      </w:r>
      <w:r>
        <w:rPr>
          <w:rFonts w:ascii="仿宋_GB2312" w:eastAsia="仿宋_GB2312"/>
          <w:sz w:val="32"/>
          <w:szCs w:val="32"/>
        </w:rPr>
        <w:t>251</w:t>
      </w:r>
      <w:r>
        <w:rPr>
          <w:rFonts w:hint="eastAsia" w:ascii="仿宋_GB2312" w:eastAsia="仿宋_GB2312"/>
          <w:sz w:val="32"/>
          <w:szCs w:val="32"/>
        </w:rPr>
        <w:t>人，其中：在职人员</w:t>
      </w:r>
      <w:r>
        <w:rPr>
          <w:rFonts w:ascii="仿宋_GB2312" w:eastAsia="仿宋_GB2312"/>
          <w:sz w:val="32"/>
          <w:szCs w:val="32"/>
        </w:rPr>
        <w:t>166</w:t>
      </w:r>
      <w:r>
        <w:rPr>
          <w:rFonts w:hint="eastAsia" w:ascii="仿宋_GB2312" w:eastAsia="仿宋_GB2312"/>
          <w:sz w:val="32"/>
          <w:szCs w:val="32"/>
        </w:rPr>
        <w:t>人，离休人员</w:t>
      </w:r>
      <w:r>
        <w:rPr>
          <w:rFonts w:ascii="仿宋_GB2312" w:eastAsia="仿宋_GB2312"/>
          <w:sz w:val="32"/>
          <w:szCs w:val="32"/>
        </w:rPr>
        <w:t>0</w:t>
      </w:r>
      <w:r>
        <w:rPr>
          <w:rFonts w:hint="eastAsia" w:ascii="仿宋_GB2312" w:eastAsia="仿宋_GB2312"/>
          <w:sz w:val="32"/>
          <w:szCs w:val="32"/>
        </w:rPr>
        <w:t>人，退休人员</w:t>
      </w:r>
      <w:r>
        <w:rPr>
          <w:rFonts w:ascii="仿宋_GB2312" w:eastAsia="仿宋_GB2312"/>
          <w:sz w:val="32"/>
          <w:szCs w:val="32"/>
        </w:rPr>
        <w:t>85</w:t>
      </w:r>
      <w:r>
        <w:rPr>
          <w:rFonts w:hint="eastAsia" w:ascii="仿宋_GB2312" w:eastAsia="仿宋_GB2312"/>
          <w:sz w:val="32"/>
          <w:szCs w:val="32"/>
        </w:rPr>
        <w:t>人。</w:t>
      </w:r>
    </w:p>
    <w:p>
      <w:pPr>
        <w:ind w:firstLine="640" w:firstLineChars="200"/>
        <w:rPr>
          <w:rFonts w:ascii="仿宋_GB2312" w:eastAsia="仿宋_GB2312"/>
          <w:sz w:val="32"/>
          <w:szCs w:val="32"/>
        </w:rPr>
      </w:pPr>
      <w:r>
        <w:rPr>
          <w:rFonts w:hint="eastAsia" w:ascii="仿宋_GB2312" w:eastAsia="仿宋_GB2312"/>
          <w:sz w:val="32"/>
          <w:szCs w:val="32"/>
        </w:rPr>
        <w:t>从部门决算单位构成看，乌鲁木齐市第九中学部门决算包括：乌鲁木齐市第九中学决算。</w:t>
      </w:r>
      <w:r>
        <w:rPr>
          <w:rFonts w:hint="eastAsia" w:ascii="仿宋_GB2312" w:hAnsi="黑体" w:eastAsia="仿宋_GB2312" w:cs="宋体"/>
          <w:bCs/>
          <w:kern w:val="0"/>
          <w:sz w:val="32"/>
          <w:szCs w:val="32"/>
        </w:rPr>
        <w:t>单位无下属预算单位，下设</w:t>
      </w:r>
      <w:r>
        <w:rPr>
          <w:rFonts w:hint="eastAsia" w:ascii="仿宋_GB2312" w:eastAsia="仿宋_GB2312"/>
          <w:sz w:val="32"/>
          <w:szCs w:val="32"/>
        </w:rPr>
        <w:t>8</w:t>
      </w:r>
      <w:r>
        <w:rPr>
          <w:rFonts w:hint="eastAsia" w:ascii="仿宋_GB2312" w:hAnsi="黑体" w:eastAsia="仿宋_GB2312" w:cs="宋体"/>
          <w:bCs/>
          <w:kern w:val="0"/>
          <w:sz w:val="32"/>
          <w:szCs w:val="32"/>
        </w:rPr>
        <w:t>个处室，分别是：党政办公室、教务科、教研室、德育科、总务科、安保科、信息中心、艺术教研室</w:t>
      </w:r>
      <w:r>
        <w:rPr>
          <w:rFonts w:hint="eastAsia" w:ascii="仿宋_GB2312" w:hAnsi="宋体" w:eastAsia="仿宋_GB2312" w:cs="宋体"/>
          <w:kern w:val="0"/>
          <w:sz w:val="32"/>
          <w:szCs w:val="32"/>
        </w:rPr>
        <w:t>。</w:t>
      </w:r>
    </w:p>
    <w:p>
      <w:pPr>
        <w:ind w:firstLine="640" w:firstLineChars="200"/>
        <w:jc w:val="center"/>
        <w:outlineLvl w:val="0"/>
        <w:rPr>
          <w:rFonts w:ascii="黑体" w:hAnsi="黑体" w:eastAsia="黑体"/>
          <w:sz w:val="32"/>
          <w:szCs w:val="32"/>
        </w:rPr>
      </w:pPr>
      <w:bookmarkStart w:id="6" w:name="_Toc3092"/>
      <w:bookmarkStart w:id="7" w:name="_Toc29374"/>
      <w:r>
        <w:rPr>
          <w:rFonts w:hint="eastAsia" w:ascii="黑体" w:hAnsi="黑体" w:eastAsia="黑体"/>
          <w:sz w:val="32"/>
          <w:szCs w:val="32"/>
        </w:rPr>
        <w:br w:type="page"/>
      </w:r>
      <w:r>
        <w:rPr>
          <w:rFonts w:hint="eastAsia" w:ascii="黑体" w:hAnsi="黑体" w:eastAsia="黑体"/>
          <w:sz w:val="32"/>
          <w:szCs w:val="32"/>
        </w:rPr>
        <w:t>第二部分 部门决算情况说明</w:t>
      </w:r>
      <w:bookmarkEnd w:id="6"/>
      <w:bookmarkEnd w:id="7"/>
    </w:p>
    <w:p>
      <w:pPr>
        <w:ind w:firstLine="640" w:firstLineChars="200"/>
        <w:outlineLvl w:val="1"/>
        <w:rPr>
          <w:rFonts w:ascii="黑体" w:hAnsi="黑体" w:eastAsia="黑体" w:cs="宋体"/>
          <w:bCs/>
          <w:kern w:val="0"/>
          <w:sz w:val="32"/>
          <w:szCs w:val="32"/>
        </w:rPr>
      </w:pPr>
      <w:bookmarkStart w:id="8" w:name="_Toc12566"/>
      <w:bookmarkStart w:id="9" w:name="_Toc25314"/>
      <w:r>
        <w:rPr>
          <w:rFonts w:hint="eastAsia" w:ascii="黑体" w:hAnsi="黑体" w:eastAsia="黑体" w:cs="宋体"/>
          <w:bCs/>
          <w:kern w:val="0"/>
          <w:sz w:val="32"/>
          <w:szCs w:val="32"/>
        </w:rPr>
        <w:t>一、收入支出决算总体情况说明</w:t>
      </w:r>
      <w:bookmarkEnd w:id="8"/>
      <w:bookmarkEnd w:id="9"/>
    </w:p>
    <w:p>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年度收入总计3,653.81万元，其中：本年收入合计</w:t>
      </w:r>
      <w:r>
        <w:rPr>
          <w:rFonts w:ascii="仿宋_GB2312" w:eastAsia="仿宋_GB2312"/>
          <w:sz w:val="32"/>
          <w:szCs w:val="32"/>
        </w:rPr>
        <w:t>3,629.79</w:t>
      </w:r>
      <w:r>
        <w:rPr>
          <w:rFonts w:hint="eastAsia" w:ascii="仿宋_GB2312" w:eastAsia="仿宋_GB2312"/>
          <w:sz w:val="32"/>
          <w:szCs w:val="32"/>
        </w:rPr>
        <w:t>万元，使用非财政拨款结余0.00万元，年初结转和结余24.0</w:t>
      </w:r>
      <w:r>
        <w:rPr>
          <w:rFonts w:ascii="仿宋_GB2312" w:eastAsia="仿宋_GB2312"/>
          <w:sz w:val="32"/>
          <w:szCs w:val="32"/>
        </w:rPr>
        <w:t>2</w:t>
      </w:r>
      <w:r>
        <w:rPr>
          <w:rFonts w:hint="eastAsia" w:ascii="仿宋_GB2312" w:eastAsia="仿宋_GB2312"/>
          <w:sz w:val="32"/>
          <w:szCs w:val="32"/>
        </w:rPr>
        <w:t>万元。收入总计与上年相比，增加137.14万元，</w:t>
      </w:r>
      <w:r>
        <w:rPr>
          <w:rFonts w:ascii="仿宋_GB2312" w:eastAsia="仿宋_GB2312"/>
          <w:sz w:val="32"/>
          <w:szCs w:val="32"/>
        </w:rPr>
        <w:t>增长3.90</w:t>
      </w:r>
      <w:r>
        <w:rPr>
          <w:rFonts w:hint="eastAsia" w:ascii="仿宋_GB2312" w:eastAsia="仿宋_GB2312"/>
          <w:sz w:val="32"/>
          <w:szCs w:val="32"/>
        </w:rPr>
        <w:t>%，主要原因是：1.在职人员工资调增，社保，住房公积金等相关人员经费增加；2.增加南疆支教补助项目，另外聘用人员经费，义务教育保障经费较上年增加。</w:t>
      </w:r>
    </w:p>
    <w:p>
      <w:pPr>
        <w:ind w:firstLine="640" w:firstLineChars="200"/>
        <w:rPr>
          <w:rFonts w:ascii="仿宋_GB2312" w:eastAsia="仿宋_GB2312"/>
          <w:sz w:val="32"/>
          <w:szCs w:val="32"/>
        </w:rPr>
      </w:pPr>
      <w:r>
        <w:rPr>
          <w:rFonts w:hint="eastAsia" w:ascii="仿宋_GB2312" w:eastAsia="仿宋_GB2312"/>
          <w:sz w:val="32"/>
          <w:szCs w:val="32"/>
        </w:rPr>
        <w:t>本年支出总计3,653.81万元，其中：本年支出合计</w:t>
      </w:r>
      <w:r>
        <w:rPr>
          <w:rFonts w:ascii="仿宋_GB2312" w:eastAsia="仿宋_GB2312"/>
          <w:sz w:val="32"/>
          <w:szCs w:val="32"/>
        </w:rPr>
        <w:t>3,602.97</w:t>
      </w:r>
      <w:r>
        <w:rPr>
          <w:rFonts w:hint="eastAsia" w:ascii="仿宋_GB2312" w:eastAsia="仿宋_GB2312"/>
          <w:sz w:val="32"/>
          <w:szCs w:val="32"/>
        </w:rPr>
        <w:t>万元，结余分配0.00万元，年末结转和结余50.84万元。支出总计与上年相比，</w:t>
      </w:r>
      <w:r>
        <w:rPr>
          <w:rFonts w:ascii="仿宋_GB2312" w:eastAsia="仿宋_GB2312"/>
          <w:sz w:val="32"/>
          <w:szCs w:val="32"/>
        </w:rPr>
        <w:t>增加137.14</w:t>
      </w:r>
      <w:r>
        <w:rPr>
          <w:rFonts w:hint="eastAsia" w:ascii="仿宋_GB2312" w:eastAsia="仿宋_GB2312"/>
          <w:sz w:val="32"/>
          <w:szCs w:val="32"/>
        </w:rPr>
        <w:t>万元，</w:t>
      </w:r>
      <w:r>
        <w:rPr>
          <w:rFonts w:ascii="仿宋_GB2312" w:eastAsia="仿宋_GB2312"/>
          <w:sz w:val="32"/>
          <w:szCs w:val="32"/>
        </w:rPr>
        <w:t>增长3.90</w:t>
      </w:r>
      <w:r>
        <w:rPr>
          <w:rFonts w:hint="eastAsia" w:ascii="仿宋_GB2312" w:eastAsia="仿宋_GB2312"/>
          <w:sz w:val="32"/>
          <w:szCs w:val="32"/>
        </w:rPr>
        <w:t>%，主要原因是：1.在职人员工资调增，社保，住房公积金等相关人员经费增加；2.增加南疆支教补助项目，另外聘用人员经费，义务教育保障经费较上年增加。</w:t>
      </w:r>
    </w:p>
    <w:p>
      <w:pPr>
        <w:ind w:firstLine="640" w:firstLineChars="200"/>
        <w:outlineLvl w:val="1"/>
        <w:rPr>
          <w:rFonts w:ascii="黑体" w:hAnsi="黑体" w:eastAsia="黑体" w:cs="宋体"/>
          <w:bCs/>
          <w:kern w:val="0"/>
          <w:sz w:val="32"/>
          <w:szCs w:val="32"/>
        </w:rPr>
      </w:pPr>
      <w:bookmarkStart w:id="10" w:name="_Toc1979"/>
      <w:bookmarkStart w:id="11" w:name="_Toc12142"/>
      <w:r>
        <w:rPr>
          <w:rFonts w:hint="eastAsia" w:ascii="黑体" w:hAnsi="黑体" w:eastAsia="黑体" w:cs="宋体"/>
          <w:bCs/>
          <w:kern w:val="0"/>
          <w:sz w:val="32"/>
          <w:szCs w:val="32"/>
        </w:rPr>
        <w:t>二、收入决算情况说明</w:t>
      </w:r>
      <w:bookmarkEnd w:id="10"/>
      <w:bookmarkEnd w:id="11"/>
    </w:p>
    <w:p>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年度本年收入</w:t>
      </w:r>
      <w:r>
        <w:rPr>
          <w:rFonts w:ascii="仿宋_GB2312" w:eastAsia="仿宋_GB2312"/>
          <w:sz w:val="32"/>
          <w:szCs w:val="32"/>
        </w:rPr>
        <w:t>3,629.79</w:t>
      </w:r>
      <w:r>
        <w:rPr>
          <w:rFonts w:hint="eastAsia" w:ascii="仿宋_GB2312" w:eastAsia="仿宋_GB2312"/>
          <w:sz w:val="32"/>
          <w:szCs w:val="32"/>
        </w:rPr>
        <w:t>万元，其中：财政拨款收入</w:t>
      </w:r>
      <w:r>
        <w:rPr>
          <w:rFonts w:ascii="仿宋_GB2312" w:eastAsia="仿宋_GB2312"/>
          <w:sz w:val="32"/>
          <w:szCs w:val="32"/>
        </w:rPr>
        <w:t>3,629.68</w:t>
      </w:r>
      <w:r>
        <w:rPr>
          <w:rFonts w:hint="eastAsia" w:ascii="仿宋_GB2312" w:eastAsia="仿宋_GB2312"/>
          <w:sz w:val="32"/>
          <w:szCs w:val="32"/>
        </w:rPr>
        <w:t>万元，占</w:t>
      </w:r>
      <w:r>
        <w:rPr>
          <w:rFonts w:hint="eastAsia" w:ascii="仿宋_GB2312" w:eastAsia="仿宋_GB2312"/>
          <w:sz w:val="32"/>
          <w:szCs w:val="32"/>
          <w:lang w:val="en-US" w:eastAsia="zh-CN"/>
        </w:rPr>
        <w:t>99.99</w:t>
      </w:r>
      <w:r>
        <w:rPr>
          <w:rFonts w:hint="eastAsia" w:ascii="仿宋_GB2312" w:eastAsia="仿宋_GB2312"/>
          <w:sz w:val="32"/>
          <w:szCs w:val="32"/>
        </w:rPr>
        <w:t>%；上级补助收入</w:t>
      </w:r>
      <w:r>
        <w:rPr>
          <w:rFonts w:ascii="仿宋_GB2312" w:eastAsia="仿宋_GB2312"/>
          <w:sz w:val="32"/>
          <w:szCs w:val="32"/>
        </w:rPr>
        <w:t>0.00</w:t>
      </w:r>
      <w:r>
        <w:rPr>
          <w:rFonts w:hint="eastAsia" w:ascii="仿宋_GB2312" w:eastAsia="仿宋_GB2312"/>
          <w:sz w:val="32"/>
          <w:szCs w:val="32"/>
        </w:rPr>
        <w:t>万元，占0.00%；事业收入</w:t>
      </w:r>
      <w:r>
        <w:rPr>
          <w:rFonts w:ascii="仿宋_GB2312" w:eastAsia="仿宋_GB2312"/>
          <w:sz w:val="32"/>
          <w:szCs w:val="32"/>
        </w:rPr>
        <w:t>0.00</w:t>
      </w:r>
      <w:r>
        <w:rPr>
          <w:rFonts w:hint="eastAsia" w:ascii="仿宋_GB2312" w:eastAsia="仿宋_GB2312"/>
          <w:sz w:val="32"/>
          <w:szCs w:val="32"/>
        </w:rPr>
        <w:t>万元，占0.00%；经营收入</w:t>
      </w:r>
      <w:r>
        <w:rPr>
          <w:rFonts w:ascii="仿宋_GB2312" w:eastAsia="仿宋_GB2312"/>
          <w:sz w:val="32"/>
          <w:szCs w:val="32"/>
        </w:rPr>
        <w:t>0.00</w:t>
      </w:r>
      <w:r>
        <w:rPr>
          <w:rFonts w:hint="eastAsia" w:ascii="仿宋_GB2312" w:eastAsia="仿宋_GB2312"/>
          <w:sz w:val="32"/>
          <w:szCs w:val="32"/>
        </w:rPr>
        <w:t>万元，占0.00%；附属单位上缴收入</w:t>
      </w:r>
      <w:r>
        <w:rPr>
          <w:rFonts w:ascii="仿宋_GB2312" w:eastAsia="仿宋_GB2312"/>
          <w:sz w:val="32"/>
          <w:szCs w:val="32"/>
        </w:rPr>
        <w:t>0.00</w:t>
      </w:r>
      <w:r>
        <w:rPr>
          <w:rFonts w:hint="eastAsia" w:ascii="仿宋_GB2312" w:eastAsia="仿宋_GB2312"/>
          <w:sz w:val="32"/>
          <w:szCs w:val="32"/>
        </w:rPr>
        <w:t>万元，占0.00%；其他收入</w:t>
      </w:r>
      <w:r>
        <w:rPr>
          <w:rFonts w:ascii="仿宋_GB2312" w:eastAsia="仿宋_GB2312"/>
          <w:sz w:val="32"/>
          <w:szCs w:val="32"/>
        </w:rPr>
        <w:t>0.11</w:t>
      </w:r>
      <w:r>
        <w:rPr>
          <w:rFonts w:hint="eastAsia" w:ascii="仿宋_GB2312" w:eastAsia="仿宋_GB2312"/>
          <w:sz w:val="32"/>
          <w:szCs w:val="32"/>
        </w:rPr>
        <w:t>万元，占</w:t>
      </w:r>
      <w:r>
        <w:rPr>
          <w:rFonts w:hint="eastAsia" w:ascii="仿宋_GB2312" w:eastAsia="仿宋_GB2312"/>
          <w:sz w:val="32"/>
          <w:szCs w:val="32"/>
          <w:lang w:val="en-US" w:eastAsia="zh-CN"/>
        </w:rPr>
        <w:t>0.01</w:t>
      </w:r>
      <w:r>
        <w:rPr>
          <w:rFonts w:hint="eastAsia" w:ascii="仿宋_GB2312" w:eastAsia="仿宋_GB2312"/>
          <w:sz w:val="32"/>
          <w:szCs w:val="32"/>
        </w:rPr>
        <w:t>%。</w:t>
      </w:r>
    </w:p>
    <w:p>
      <w:pPr>
        <w:ind w:firstLine="640" w:firstLineChars="200"/>
        <w:outlineLvl w:val="1"/>
        <w:rPr>
          <w:rFonts w:ascii="黑体" w:hAnsi="黑体" w:eastAsia="黑体" w:cs="宋体"/>
          <w:bCs/>
          <w:kern w:val="0"/>
          <w:sz w:val="32"/>
          <w:szCs w:val="32"/>
        </w:rPr>
      </w:pPr>
      <w:bookmarkStart w:id="12" w:name="_Toc13201"/>
      <w:bookmarkStart w:id="13" w:name="_Toc27961"/>
      <w:r>
        <w:rPr>
          <w:rFonts w:hint="eastAsia" w:ascii="黑体" w:hAnsi="黑体" w:eastAsia="黑体" w:cs="宋体"/>
          <w:bCs/>
          <w:kern w:val="0"/>
          <w:sz w:val="32"/>
          <w:szCs w:val="32"/>
        </w:rPr>
        <w:t>三、支出决算情况说明</w:t>
      </w:r>
      <w:bookmarkEnd w:id="12"/>
      <w:bookmarkEnd w:id="13"/>
    </w:p>
    <w:p>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年度本年支出3,602.97万元，其中：基本支出</w:t>
      </w:r>
      <w:r>
        <w:rPr>
          <w:rFonts w:ascii="仿宋_GB2312" w:eastAsia="仿宋_GB2312"/>
          <w:sz w:val="32"/>
          <w:szCs w:val="32"/>
        </w:rPr>
        <w:t>3,452.45</w:t>
      </w:r>
      <w:r>
        <w:rPr>
          <w:rFonts w:hint="eastAsia" w:ascii="仿宋_GB2312" w:eastAsia="仿宋_GB2312"/>
          <w:sz w:val="32"/>
          <w:szCs w:val="32"/>
        </w:rPr>
        <w:t>万元，占95.82%；项目支出</w:t>
      </w:r>
      <w:r>
        <w:rPr>
          <w:rFonts w:ascii="仿宋_GB2312" w:eastAsia="仿宋_GB2312"/>
          <w:sz w:val="32"/>
          <w:szCs w:val="32"/>
        </w:rPr>
        <w:t>150.52</w:t>
      </w:r>
      <w:r>
        <w:rPr>
          <w:rFonts w:hint="eastAsia" w:ascii="仿宋_GB2312" w:eastAsia="仿宋_GB2312"/>
          <w:sz w:val="32"/>
          <w:szCs w:val="32"/>
        </w:rPr>
        <w:t>万元，占4.18%；上缴上级支出</w:t>
      </w:r>
      <w:r>
        <w:rPr>
          <w:rFonts w:ascii="仿宋_GB2312" w:eastAsia="仿宋_GB2312"/>
          <w:sz w:val="32"/>
          <w:szCs w:val="32"/>
        </w:rPr>
        <w:t>0.00</w:t>
      </w:r>
      <w:r>
        <w:rPr>
          <w:rFonts w:hint="eastAsia" w:ascii="仿宋_GB2312" w:eastAsia="仿宋_GB2312"/>
          <w:sz w:val="32"/>
          <w:szCs w:val="32"/>
        </w:rPr>
        <w:t>万元，占0.00%；经营支出</w:t>
      </w:r>
      <w:r>
        <w:rPr>
          <w:rFonts w:ascii="仿宋_GB2312" w:eastAsia="仿宋_GB2312"/>
          <w:sz w:val="32"/>
          <w:szCs w:val="32"/>
        </w:rPr>
        <w:t>0.00</w:t>
      </w:r>
      <w:r>
        <w:rPr>
          <w:rFonts w:hint="eastAsia" w:ascii="仿宋_GB2312" w:eastAsia="仿宋_GB2312"/>
          <w:sz w:val="32"/>
          <w:szCs w:val="32"/>
        </w:rPr>
        <w:t>万元，占</w:t>
      </w:r>
      <w:r>
        <w:rPr>
          <w:rFonts w:ascii="仿宋_GB2312" w:eastAsia="仿宋_GB2312"/>
          <w:sz w:val="32"/>
          <w:szCs w:val="32"/>
        </w:rPr>
        <w:t>0.00</w:t>
      </w:r>
      <w:r>
        <w:rPr>
          <w:rFonts w:hint="eastAsia" w:ascii="仿宋_GB2312" w:eastAsia="仿宋_GB2312"/>
          <w:sz w:val="32"/>
          <w:szCs w:val="32"/>
        </w:rPr>
        <w:t>%；对附属单位补助支出0.00万元，占0.00%。</w:t>
      </w:r>
    </w:p>
    <w:p>
      <w:pPr>
        <w:ind w:firstLine="640" w:firstLineChars="200"/>
        <w:outlineLvl w:val="1"/>
        <w:rPr>
          <w:rFonts w:ascii="黑体" w:hAnsi="黑体" w:eastAsia="黑体" w:cs="宋体"/>
          <w:bCs/>
          <w:kern w:val="0"/>
          <w:sz w:val="32"/>
          <w:szCs w:val="32"/>
        </w:rPr>
      </w:pPr>
      <w:bookmarkStart w:id="14" w:name="_Toc26564"/>
      <w:bookmarkStart w:id="15" w:name="_Toc4393"/>
      <w:r>
        <w:rPr>
          <w:rFonts w:hint="eastAsia" w:ascii="黑体" w:hAnsi="黑体" w:eastAsia="黑体" w:cs="宋体"/>
          <w:bCs/>
          <w:kern w:val="0"/>
          <w:sz w:val="32"/>
          <w:szCs w:val="32"/>
        </w:rPr>
        <w:t>四、财政拨款收入支出决算总体情况说明</w:t>
      </w:r>
      <w:bookmarkEnd w:id="14"/>
      <w:bookmarkEnd w:id="15"/>
    </w:p>
    <w:p>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财政拨款收入总计3,653.51万元，其中：年初财政拨款结转和结余23.83万元，财政拨款本年收入3,629.68万元。财政拨款收入总计与上年相比，增加137.03万元，增长3.90%，主要原因是：1.在职人员工资调增，社保，住房公积金等相关人员经费增加；2.增加南疆支教补助项目，另外聘用人员经费，义务教育保障经费较上年增加。</w:t>
      </w:r>
    </w:p>
    <w:p>
      <w:pPr>
        <w:ind w:firstLine="640" w:firstLineChars="200"/>
        <w:rPr>
          <w:rFonts w:ascii="仿宋_GB2312" w:eastAsia="仿宋_GB2312"/>
          <w:sz w:val="32"/>
          <w:szCs w:val="32"/>
        </w:rPr>
      </w:pPr>
      <w:r>
        <w:rPr>
          <w:rFonts w:hint="eastAsia" w:ascii="仿宋_GB2312" w:eastAsia="仿宋_GB2312"/>
          <w:sz w:val="32"/>
          <w:szCs w:val="32"/>
        </w:rPr>
        <w:t>财政拨款支出总计3,653.51万元，其中：年末财政拨款结转和结余50.54万元，财政拨款本年支出3,602.97万元。财政拨款支出总计与上年相比，增加137.03万元，增长3.90%，主要原因是：1.在职人员工资调增，社保，住房公积金等相关人员经费增加；2.增加南疆支教补助项目，另外聘用人员经费，义务教育保障经费较上年增加。</w:t>
      </w:r>
    </w:p>
    <w:p>
      <w:pPr>
        <w:ind w:firstLine="640" w:firstLineChars="200"/>
        <w:rPr>
          <w:rFonts w:ascii="仿宋_GB2312" w:eastAsia="仿宋_GB2312"/>
          <w:sz w:val="32"/>
          <w:szCs w:val="32"/>
        </w:rPr>
      </w:pPr>
      <w:r>
        <w:rPr>
          <w:rFonts w:hint="eastAsia" w:ascii="仿宋_GB2312" w:eastAsia="仿宋_GB2312"/>
          <w:sz w:val="32"/>
          <w:szCs w:val="32"/>
        </w:rPr>
        <w:t>与年初预算数相比情况：财政拨款收入总计年初预算数</w:t>
      </w:r>
      <w:r>
        <w:rPr>
          <w:rFonts w:ascii="仿宋_GB2312" w:eastAsia="仿宋_GB2312"/>
          <w:sz w:val="32"/>
          <w:szCs w:val="32"/>
        </w:rPr>
        <w:t>3,455.26</w:t>
      </w:r>
      <w:r>
        <w:rPr>
          <w:rFonts w:hint="eastAsia" w:ascii="仿宋_GB2312" w:eastAsia="仿宋_GB2312"/>
          <w:sz w:val="32"/>
          <w:szCs w:val="32"/>
        </w:rPr>
        <w:t>万元，决算数</w:t>
      </w:r>
      <w:r>
        <w:rPr>
          <w:rFonts w:ascii="仿宋_GB2312" w:eastAsia="仿宋_GB2312"/>
          <w:sz w:val="32"/>
          <w:szCs w:val="32"/>
        </w:rPr>
        <w:t>3,653.51</w:t>
      </w:r>
      <w:r>
        <w:rPr>
          <w:rFonts w:hint="eastAsia" w:ascii="仿宋_GB2312" w:eastAsia="仿宋_GB2312"/>
          <w:sz w:val="32"/>
          <w:szCs w:val="32"/>
        </w:rPr>
        <w:t>万元，预决算差异率</w:t>
      </w:r>
      <w:r>
        <w:rPr>
          <w:rFonts w:ascii="仿宋_GB2312" w:eastAsia="仿宋_GB2312"/>
          <w:sz w:val="32"/>
          <w:szCs w:val="32"/>
        </w:rPr>
        <w:t>5.74</w:t>
      </w:r>
      <w:r>
        <w:rPr>
          <w:rFonts w:hint="eastAsia" w:ascii="仿宋_GB2312" w:eastAsia="仿宋_GB2312"/>
          <w:sz w:val="32"/>
          <w:szCs w:val="32"/>
        </w:rPr>
        <w:t>%，主要原因是：一是年中追加人员工资、社保、公积金基数调增部分资金；二是年中追加聘用人员经费，义务教育保障经费及普通高中助学金等经费。财政拨款支出总计年初预算数</w:t>
      </w:r>
      <w:r>
        <w:rPr>
          <w:rFonts w:ascii="仿宋_GB2312" w:eastAsia="仿宋_GB2312"/>
          <w:sz w:val="32"/>
          <w:szCs w:val="32"/>
        </w:rPr>
        <w:t>3,455.26</w:t>
      </w:r>
      <w:r>
        <w:rPr>
          <w:rFonts w:hint="eastAsia" w:ascii="仿宋_GB2312" w:eastAsia="仿宋_GB2312"/>
          <w:sz w:val="32"/>
          <w:szCs w:val="32"/>
        </w:rPr>
        <w:t>万元，决算数</w:t>
      </w:r>
      <w:r>
        <w:rPr>
          <w:rFonts w:ascii="仿宋_GB2312" w:eastAsia="仿宋_GB2312"/>
          <w:sz w:val="32"/>
          <w:szCs w:val="32"/>
        </w:rPr>
        <w:t>3,653.51</w:t>
      </w:r>
      <w:r>
        <w:rPr>
          <w:rFonts w:hint="eastAsia" w:ascii="仿宋_GB2312" w:eastAsia="仿宋_GB2312"/>
          <w:sz w:val="32"/>
          <w:szCs w:val="32"/>
        </w:rPr>
        <w:t>万元，预决算差异率5.74%，主要原因是：一是年中追加人员工资、社保、公积金基数调增部分资金；二是年中追加聘用人员经费，义务教育保障经费及普通高中助学金等经费。</w:t>
      </w:r>
    </w:p>
    <w:p>
      <w:pPr>
        <w:ind w:firstLine="640" w:firstLineChars="200"/>
        <w:outlineLvl w:val="1"/>
        <w:rPr>
          <w:rFonts w:ascii="黑体" w:hAnsi="黑体" w:eastAsia="黑体" w:cs="宋体"/>
          <w:bCs/>
          <w:kern w:val="0"/>
          <w:sz w:val="32"/>
          <w:szCs w:val="32"/>
        </w:rPr>
      </w:pPr>
      <w:bookmarkStart w:id="16" w:name="_Toc20360"/>
      <w:bookmarkStart w:id="17" w:name="_Toc13833"/>
      <w:r>
        <w:rPr>
          <w:rFonts w:hint="eastAsia" w:ascii="黑体" w:hAnsi="黑体" w:eastAsia="黑体" w:cs="宋体"/>
          <w:bCs/>
          <w:kern w:val="0"/>
          <w:sz w:val="32"/>
          <w:szCs w:val="32"/>
        </w:rPr>
        <w:t>五、一般公共预算财政拨款支出决算情况说明</w:t>
      </w:r>
      <w:bookmarkEnd w:id="16"/>
      <w:bookmarkEnd w:id="17"/>
    </w:p>
    <w:p>
      <w:pPr>
        <w:ind w:firstLine="640" w:firstLineChars="200"/>
        <w:outlineLvl w:val="2"/>
        <w:rPr>
          <w:rFonts w:ascii="黑体" w:hAnsi="黑体" w:eastAsia="黑体"/>
          <w:sz w:val="32"/>
          <w:szCs w:val="32"/>
        </w:rPr>
      </w:pPr>
      <w:r>
        <w:rPr>
          <w:rFonts w:hint="eastAsia" w:ascii="黑体" w:hAnsi="黑体" w:eastAsia="黑体"/>
          <w:sz w:val="32"/>
          <w:szCs w:val="32"/>
        </w:rPr>
        <w:t>（一）一般公共预算财政拨款支出决算总体情况</w:t>
      </w:r>
    </w:p>
    <w:p>
      <w:pPr>
        <w:spacing w:line="600" w:lineRule="exact"/>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年度一般公共预算财政拨款支出3,602.97万元，占本年支出合计的</w:t>
      </w:r>
      <w:r>
        <w:rPr>
          <w:rFonts w:ascii="仿宋_GB2312" w:eastAsia="仿宋_GB2312"/>
          <w:sz w:val="32"/>
          <w:szCs w:val="32"/>
        </w:rPr>
        <w:t>100.00</w:t>
      </w:r>
      <w:r>
        <w:rPr>
          <w:rFonts w:hint="eastAsia" w:ascii="仿宋_GB2312" w:eastAsia="仿宋_GB2312"/>
          <w:sz w:val="32"/>
          <w:szCs w:val="32"/>
        </w:rPr>
        <w:t>%，与上年相比，</w:t>
      </w:r>
      <w:r>
        <w:rPr>
          <w:rFonts w:ascii="仿宋_GB2312" w:eastAsia="仿宋_GB2312"/>
          <w:sz w:val="32"/>
          <w:szCs w:val="32"/>
        </w:rPr>
        <w:t>增加110.32</w:t>
      </w:r>
      <w:r>
        <w:rPr>
          <w:rFonts w:hint="eastAsia" w:ascii="仿宋_GB2312" w:eastAsia="仿宋_GB2312"/>
          <w:sz w:val="32"/>
          <w:szCs w:val="32"/>
        </w:rPr>
        <w:t>万元，</w:t>
      </w:r>
      <w:r>
        <w:rPr>
          <w:rFonts w:ascii="仿宋_GB2312" w:eastAsia="仿宋_GB2312"/>
          <w:sz w:val="32"/>
          <w:szCs w:val="32"/>
        </w:rPr>
        <w:t>增长3.16</w:t>
      </w:r>
      <w:r>
        <w:rPr>
          <w:rFonts w:hint="eastAsia" w:ascii="仿宋_GB2312" w:eastAsia="仿宋_GB2312"/>
          <w:sz w:val="32"/>
          <w:szCs w:val="32"/>
        </w:rPr>
        <w:t>%，主要原因是：1.在职人员工资调增，社保，住房公积金等相关人员经费增加；2.增加南疆支教补助项目，另外聘用人员经费，义务教育保障经费较上年增加。</w:t>
      </w:r>
    </w:p>
    <w:p>
      <w:pPr>
        <w:ind w:firstLine="640" w:firstLineChars="200"/>
        <w:outlineLvl w:val="2"/>
        <w:rPr>
          <w:rFonts w:ascii="黑体" w:hAnsi="黑体" w:eastAsia="黑体"/>
          <w:sz w:val="32"/>
          <w:szCs w:val="32"/>
        </w:rPr>
      </w:pPr>
      <w:r>
        <w:rPr>
          <w:rFonts w:hint="eastAsia" w:ascii="黑体" w:hAnsi="黑体" w:eastAsia="黑体"/>
          <w:sz w:val="32"/>
          <w:szCs w:val="32"/>
        </w:rPr>
        <w:t>（二）一般公共预算财政拨款支出决算结构情况</w:t>
      </w:r>
    </w:p>
    <w:p>
      <w:pPr>
        <w:ind w:firstLine="640" w:firstLineChars="200"/>
        <w:rPr>
          <w:rFonts w:ascii="黑体" w:hAnsi="黑体" w:eastAsia="黑体"/>
          <w:sz w:val="32"/>
          <w:szCs w:val="32"/>
        </w:rPr>
      </w:pPr>
      <w:r>
        <w:rPr>
          <w:rFonts w:hint="eastAsia" w:ascii="仿宋_GB2312" w:eastAsia="仿宋_GB2312"/>
          <w:sz w:val="32"/>
          <w:szCs w:val="32"/>
        </w:rPr>
        <w:t>1.教育支出(</w:t>
      </w:r>
      <w:r>
        <w:rPr>
          <w:rFonts w:hint="eastAsia" w:ascii="仿宋_GB2312" w:eastAsia="仿宋_GB2312"/>
          <w:sz w:val="32"/>
          <w:szCs w:val="32"/>
          <w:lang w:val="en-US" w:eastAsia="zh-CN"/>
        </w:rPr>
        <w:t>类</w:t>
      </w:r>
      <w:r>
        <w:rPr>
          <w:rFonts w:hint="eastAsia" w:ascii="仿宋_GB2312" w:eastAsia="仿宋_GB2312"/>
          <w:sz w:val="32"/>
          <w:szCs w:val="32"/>
        </w:rPr>
        <w:t>)3,602.97万元,占100.00%。</w:t>
      </w:r>
    </w:p>
    <w:p>
      <w:pPr>
        <w:ind w:firstLine="640" w:firstLineChars="200"/>
        <w:outlineLvl w:val="2"/>
        <w:rPr>
          <w:rFonts w:ascii="黑体" w:hAnsi="黑体" w:eastAsia="黑体"/>
          <w:sz w:val="32"/>
          <w:szCs w:val="32"/>
        </w:rPr>
      </w:pPr>
      <w:r>
        <w:rPr>
          <w:rFonts w:hint="eastAsia" w:ascii="黑体" w:hAnsi="黑体" w:eastAsia="黑体"/>
          <w:sz w:val="32"/>
          <w:szCs w:val="32"/>
        </w:rPr>
        <w:t>（三）一般公共预算财政拨款支出决算具体情况</w:t>
      </w:r>
    </w:p>
    <w:p>
      <w:pPr>
        <w:ind w:firstLine="640" w:firstLineChars="200"/>
        <w:rPr>
          <w:rFonts w:ascii="仿宋_GB2312" w:eastAsia="仿宋_GB2312"/>
          <w:b/>
          <w:bCs/>
          <w:sz w:val="32"/>
          <w:szCs w:val="32"/>
          <w:highlight w:val="yellow"/>
        </w:rPr>
      </w:pPr>
      <w:r>
        <w:rPr>
          <w:rFonts w:hint="eastAsia" w:ascii="仿宋_GB2312" w:eastAsia="仿宋_GB2312"/>
          <w:sz w:val="32"/>
          <w:szCs w:val="32"/>
        </w:rPr>
        <w:t>1.教育支出</w:t>
      </w:r>
      <w:r>
        <w:rPr>
          <w:rFonts w:hint="eastAsia" w:ascii="仿宋_GB2312" w:eastAsia="仿宋_GB2312"/>
          <w:sz w:val="32"/>
          <w:szCs w:val="32"/>
          <w:lang w:eastAsia="zh-CN"/>
        </w:rPr>
        <w:t>（类）</w:t>
      </w:r>
      <w:r>
        <w:rPr>
          <w:rFonts w:hint="eastAsia" w:ascii="仿宋_GB2312" w:eastAsia="仿宋_GB2312"/>
          <w:sz w:val="32"/>
          <w:szCs w:val="32"/>
        </w:rPr>
        <w:t>普通教育</w:t>
      </w:r>
      <w:r>
        <w:rPr>
          <w:rFonts w:hint="eastAsia" w:ascii="仿宋_GB2312" w:eastAsia="仿宋_GB2312"/>
          <w:sz w:val="32"/>
          <w:szCs w:val="32"/>
          <w:lang w:eastAsia="zh-CN"/>
        </w:rPr>
        <w:t>（款）</w:t>
      </w:r>
      <w:r>
        <w:rPr>
          <w:rFonts w:hint="eastAsia" w:ascii="仿宋_GB2312" w:eastAsia="仿宋_GB2312"/>
          <w:sz w:val="32"/>
          <w:szCs w:val="32"/>
        </w:rPr>
        <w:t>初中教育(</w:t>
      </w:r>
      <w:r>
        <w:rPr>
          <w:rFonts w:hint="eastAsia" w:ascii="仿宋_GB2312" w:eastAsia="仿宋_GB2312"/>
          <w:sz w:val="32"/>
          <w:szCs w:val="32"/>
          <w:lang w:val="en-US" w:eastAsia="zh-CN"/>
        </w:rPr>
        <w:t>项</w:t>
      </w:r>
      <w:r>
        <w:rPr>
          <w:rFonts w:hint="eastAsia" w:ascii="仿宋_GB2312" w:eastAsia="仿宋_GB2312"/>
          <w:sz w:val="32"/>
          <w:szCs w:val="32"/>
        </w:rPr>
        <w:t>):支出决算数为1,788.48万元，比上年决算增加32.14万元，增长1.83%</w:t>
      </w:r>
      <w:r>
        <w:rPr>
          <w:rFonts w:ascii="仿宋_GB2312" w:eastAsia="仿宋_GB2312"/>
          <w:sz w:val="32"/>
          <w:szCs w:val="32"/>
        </w:rPr>
        <w:t>,</w:t>
      </w:r>
      <w:r>
        <w:rPr>
          <w:rFonts w:hint="eastAsia" w:ascii="仿宋_GB2312" w:eastAsia="仿宋_GB2312"/>
          <w:sz w:val="32"/>
          <w:szCs w:val="32"/>
        </w:rPr>
        <w:t>主要原因是:1.在职人员工资调增，住房公积金等相关人员经费增加；2.增加南疆支教补助项目，另外聘用人员经费，义务教育保障经费较上年增加。</w:t>
      </w:r>
    </w:p>
    <w:p>
      <w:pPr>
        <w:ind w:firstLine="640" w:firstLineChars="200"/>
        <w:outlineLvl w:val="1"/>
        <w:rPr>
          <w:rFonts w:ascii="黑体" w:hAnsi="黑体" w:eastAsia="黑体" w:cs="宋体"/>
          <w:bCs/>
          <w:kern w:val="0"/>
          <w:sz w:val="32"/>
          <w:szCs w:val="32"/>
        </w:rPr>
      </w:pPr>
      <w:bookmarkStart w:id="18" w:name="_Toc11146"/>
      <w:bookmarkStart w:id="19" w:name="_Toc30870"/>
      <w:r>
        <w:rPr>
          <w:rFonts w:hint="eastAsia" w:ascii="仿宋_GB2312" w:eastAsia="仿宋_GB2312"/>
          <w:sz w:val="32"/>
          <w:szCs w:val="32"/>
        </w:rPr>
        <w:t>2.教育支出</w:t>
      </w:r>
      <w:r>
        <w:rPr>
          <w:rFonts w:hint="eastAsia" w:ascii="仿宋_GB2312" w:eastAsia="仿宋_GB2312"/>
          <w:sz w:val="32"/>
          <w:szCs w:val="32"/>
          <w:lang w:eastAsia="zh-CN"/>
        </w:rPr>
        <w:t>（类）</w:t>
      </w:r>
      <w:r>
        <w:rPr>
          <w:rFonts w:hint="eastAsia" w:ascii="仿宋_GB2312" w:eastAsia="仿宋_GB2312"/>
          <w:sz w:val="32"/>
          <w:szCs w:val="32"/>
        </w:rPr>
        <w:t>普通教育</w:t>
      </w:r>
      <w:r>
        <w:rPr>
          <w:rFonts w:hint="eastAsia" w:ascii="仿宋_GB2312" w:eastAsia="仿宋_GB2312"/>
          <w:sz w:val="32"/>
          <w:szCs w:val="32"/>
          <w:lang w:eastAsia="zh-CN"/>
        </w:rPr>
        <w:t>（款）</w:t>
      </w:r>
      <w:r>
        <w:rPr>
          <w:rFonts w:hint="eastAsia" w:ascii="仿宋_GB2312" w:eastAsia="仿宋_GB2312"/>
          <w:sz w:val="32"/>
          <w:szCs w:val="32"/>
        </w:rPr>
        <w:t>高中教育(</w:t>
      </w:r>
      <w:r>
        <w:rPr>
          <w:rFonts w:hint="eastAsia" w:ascii="仿宋_GB2312" w:eastAsia="仿宋_GB2312"/>
          <w:sz w:val="32"/>
          <w:szCs w:val="32"/>
          <w:lang w:val="en-US" w:eastAsia="zh-CN"/>
        </w:rPr>
        <w:t>项</w:t>
      </w:r>
      <w:r>
        <w:rPr>
          <w:rFonts w:hint="eastAsia" w:ascii="仿宋_GB2312" w:eastAsia="仿宋_GB2312"/>
          <w:sz w:val="32"/>
          <w:szCs w:val="32"/>
        </w:rPr>
        <w:t>):支出决算数为1,805.35万元，比上年决算增加129.46万元，增长7.72%</w:t>
      </w:r>
      <w:r>
        <w:rPr>
          <w:rFonts w:ascii="仿宋_GB2312" w:eastAsia="仿宋_GB2312"/>
          <w:sz w:val="32"/>
          <w:szCs w:val="32"/>
        </w:rPr>
        <w:t>,</w:t>
      </w:r>
      <w:r>
        <w:rPr>
          <w:rFonts w:hint="eastAsia" w:ascii="仿宋_GB2312" w:eastAsia="仿宋_GB2312"/>
          <w:sz w:val="32"/>
          <w:szCs w:val="32"/>
        </w:rPr>
        <w:t>主要原因是:1.在职人员工资调增，住房公积金等相关人员经费增加；2.增加聘用人员经费。</w:t>
      </w:r>
    </w:p>
    <w:p>
      <w:pPr>
        <w:ind w:firstLine="640" w:firstLineChars="200"/>
        <w:outlineLvl w:val="1"/>
        <w:rPr>
          <w:rFonts w:hint="eastAsia" w:ascii="仿宋_GB2312" w:eastAsia="仿宋_GB2312"/>
          <w:sz w:val="32"/>
          <w:szCs w:val="32"/>
        </w:rPr>
      </w:pPr>
      <w:r>
        <w:rPr>
          <w:rFonts w:hint="eastAsia" w:ascii="仿宋_GB2312" w:eastAsia="仿宋_GB2312"/>
          <w:sz w:val="32"/>
          <w:szCs w:val="32"/>
        </w:rPr>
        <w:t>3.教育支出</w:t>
      </w:r>
      <w:r>
        <w:rPr>
          <w:rFonts w:hint="eastAsia" w:ascii="仿宋_GB2312" w:eastAsia="仿宋_GB2312"/>
          <w:sz w:val="32"/>
          <w:szCs w:val="32"/>
          <w:lang w:eastAsia="zh-CN"/>
        </w:rPr>
        <w:t>（类）</w:t>
      </w:r>
      <w:r>
        <w:rPr>
          <w:rFonts w:hint="eastAsia" w:ascii="仿宋_GB2312" w:eastAsia="仿宋_GB2312"/>
          <w:sz w:val="32"/>
          <w:szCs w:val="32"/>
        </w:rPr>
        <w:t>普通教育</w:t>
      </w:r>
      <w:r>
        <w:rPr>
          <w:rFonts w:hint="eastAsia" w:ascii="仿宋_GB2312" w:eastAsia="仿宋_GB2312"/>
          <w:sz w:val="32"/>
          <w:szCs w:val="32"/>
          <w:lang w:eastAsia="zh-CN"/>
        </w:rPr>
        <w:t>（款）</w:t>
      </w:r>
      <w:r>
        <w:rPr>
          <w:rFonts w:hint="eastAsia" w:ascii="仿宋_GB2312" w:eastAsia="仿宋_GB2312"/>
          <w:sz w:val="32"/>
          <w:szCs w:val="32"/>
        </w:rPr>
        <w:t>其他普通教育支出(</w:t>
      </w:r>
      <w:r>
        <w:rPr>
          <w:rFonts w:hint="eastAsia" w:ascii="仿宋_GB2312" w:eastAsia="仿宋_GB2312"/>
          <w:sz w:val="32"/>
          <w:szCs w:val="32"/>
          <w:lang w:val="en-US" w:eastAsia="zh-CN"/>
        </w:rPr>
        <w:t>项</w:t>
      </w:r>
      <w:r>
        <w:rPr>
          <w:rFonts w:hint="eastAsia" w:ascii="仿宋_GB2312" w:eastAsia="仿宋_GB2312"/>
          <w:sz w:val="32"/>
          <w:szCs w:val="32"/>
        </w:rPr>
        <w:t>):支出决算数为9.14万元，比上年决算减少17.97万元，下降66.29%</w:t>
      </w:r>
      <w:r>
        <w:rPr>
          <w:rFonts w:ascii="仿宋_GB2312" w:eastAsia="仿宋_GB2312"/>
          <w:sz w:val="32"/>
          <w:szCs w:val="32"/>
        </w:rPr>
        <w:t>,</w:t>
      </w:r>
      <w:r>
        <w:rPr>
          <w:rFonts w:hint="eastAsia" w:ascii="仿宋_GB2312" w:eastAsia="仿宋_GB2312"/>
          <w:sz w:val="32"/>
          <w:szCs w:val="32"/>
        </w:rPr>
        <w:t>主要原因是:普通高中助学金补助资金较上年减少。</w:t>
      </w:r>
    </w:p>
    <w:p>
      <w:pPr>
        <w:pStyle w:val="10"/>
        <w:ind w:left="0" w:leftChars="0" w:firstLine="640" w:firstLineChars="200"/>
        <w:rPr>
          <w:rFonts w:hint="eastAsia" w:ascii="仿宋_GB2312" w:eastAsia="仿宋_GB2312"/>
          <w:sz w:val="32"/>
          <w:szCs w:val="32"/>
        </w:rPr>
      </w:pPr>
      <w:r>
        <w:rPr>
          <w:rFonts w:hint="eastAsia" w:ascii="仿宋_GB2312" w:eastAsia="仿宋_GB2312"/>
          <w:sz w:val="32"/>
          <w:lang w:val="en-US" w:eastAsia="zh-CN"/>
        </w:rPr>
        <w:t>4.</w:t>
      </w:r>
      <w:r>
        <w:rPr>
          <w:rFonts w:hint="eastAsia" w:ascii="仿宋_GB2312" w:eastAsia="仿宋_GB2312"/>
          <w:sz w:val="32"/>
          <w:lang w:eastAsia="zh-CN"/>
        </w:rPr>
        <w:t>社会保障和就业支出（类）行政事业单位养老支出（款）</w:t>
      </w:r>
      <w:r>
        <w:rPr>
          <w:rFonts w:hint="eastAsia" w:ascii="仿宋_GB2312" w:hAnsi="仿宋_GB2312" w:eastAsia="仿宋_GB2312" w:cs="仿宋_GB2312"/>
          <w:kern w:val="0"/>
          <w:sz w:val="32"/>
          <w:szCs w:val="32"/>
          <w:highlight w:val="none"/>
          <w:lang w:val="en-US" w:eastAsia="zh-CN"/>
        </w:rPr>
        <w:t>机关事业单位职业年金缴费支出（项）</w:t>
      </w:r>
      <w:r>
        <w:rPr>
          <w:rFonts w:hint="eastAsia" w:ascii="仿宋_GB2312" w:hAnsi="仿宋_GB2312" w:eastAsia="仿宋_GB2312" w:cs="仿宋_GB2312"/>
          <w:kern w:val="0"/>
          <w:sz w:val="32"/>
          <w:szCs w:val="32"/>
        </w:rPr>
        <w:t>:</w:t>
      </w:r>
      <w:r>
        <w:rPr>
          <w:rFonts w:hint="eastAsia" w:ascii="仿宋_GB2312" w:eastAsia="仿宋_GB2312"/>
          <w:sz w:val="32"/>
          <w:lang w:val="en-US" w:eastAsia="zh-CN"/>
        </w:rPr>
        <w:t>支出决算数为0万元，比上年减少支出33.31</w:t>
      </w:r>
      <w:bookmarkStart w:id="50" w:name="_GoBack"/>
      <w:bookmarkEnd w:id="50"/>
      <w:r>
        <w:rPr>
          <w:rFonts w:hint="eastAsia" w:ascii="仿宋_GB2312" w:eastAsia="仿宋_GB2312"/>
          <w:sz w:val="32"/>
          <w:lang w:val="en-US" w:eastAsia="zh-CN"/>
        </w:rPr>
        <w:t>万元，下降100%，主要原因是：本年单位无此项支出。</w:t>
      </w:r>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六、一般公共预算财政拨款基本支出决算情况说明</w:t>
      </w:r>
      <w:bookmarkEnd w:id="18"/>
      <w:bookmarkEnd w:id="19"/>
    </w:p>
    <w:p>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年度一般公共预算财政拨款基本支出</w:t>
      </w:r>
      <w:r>
        <w:rPr>
          <w:rFonts w:ascii="仿宋_GB2312" w:eastAsia="仿宋_GB2312"/>
          <w:sz w:val="32"/>
          <w:szCs w:val="32"/>
        </w:rPr>
        <w:t>3,452.4</w:t>
      </w:r>
      <w:r>
        <w:rPr>
          <w:rFonts w:hint="eastAsia" w:ascii="仿宋_GB2312" w:eastAsia="仿宋_GB2312"/>
          <w:sz w:val="32"/>
          <w:szCs w:val="32"/>
          <w:lang w:val="en-US" w:eastAsia="zh-CN"/>
        </w:rPr>
        <w:t>5</w:t>
      </w:r>
      <w:r>
        <w:rPr>
          <w:rFonts w:hint="eastAsia" w:ascii="仿宋_GB2312" w:eastAsia="仿宋_GB2312"/>
          <w:sz w:val="32"/>
          <w:szCs w:val="32"/>
        </w:rPr>
        <w:t>万元，其中：</w:t>
      </w:r>
    </w:p>
    <w:p>
      <w:pPr>
        <w:ind w:firstLine="640" w:firstLineChars="200"/>
        <w:rPr>
          <w:rFonts w:ascii="仿宋_GB2312" w:eastAsia="仿宋_GB2312"/>
          <w:sz w:val="32"/>
          <w:szCs w:val="32"/>
        </w:rPr>
      </w:pPr>
      <w:r>
        <w:rPr>
          <w:rFonts w:hint="eastAsia" w:ascii="仿宋_GB2312" w:eastAsia="仿宋_GB2312"/>
          <w:sz w:val="32"/>
          <w:szCs w:val="32"/>
        </w:rPr>
        <w:t>人员经费</w:t>
      </w:r>
      <w:r>
        <w:rPr>
          <w:rFonts w:ascii="仿宋_GB2312" w:eastAsia="仿宋_GB2312"/>
          <w:sz w:val="32"/>
          <w:szCs w:val="32"/>
        </w:rPr>
        <w:t>3,259.1</w:t>
      </w:r>
      <w:r>
        <w:rPr>
          <w:rFonts w:hint="eastAsia" w:ascii="仿宋_GB2312" w:eastAsia="仿宋_GB2312"/>
          <w:sz w:val="32"/>
          <w:szCs w:val="32"/>
          <w:lang w:val="en-US" w:eastAsia="zh-CN"/>
        </w:rPr>
        <w:t>8</w:t>
      </w:r>
      <w:r>
        <w:rPr>
          <w:rFonts w:hint="eastAsia" w:ascii="仿宋_GB2312" w:eastAsia="仿宋_GB2312"/>
          <w:sz w:val="32"/>
          <w:szCs w:val="32"/>
        </w:rPr>
        <w:t>万元，包括：基本工资、津贴补贴、奖金、绩效工资、机关事业单位基本养老保险缴费、职工基本医疗保险缴费、公务员医疗补助缴费、其他社会保障缴费、住房公积金、其他工资福利支出、退休费、生活补助、奖励金。</w:t>
      </w:r>
    </w:p>
    <w:p>
      <w:pPr>
        <w:ind w:firstLine="640" w:firstLineChars="200"/>
        <w:rPr>
          <w:rFonts w:ascii="仿宋_GB2312" w:hAnsi="宋体" w:eastAsia="仿宋_GB2312" w:cs="宋体"/>
          <w:kern w:val="0"/>
          <w:sz w:val="32"/>
          <w:szCs w:val="32"/>
        </w:rPr>
      </w:pPr>
      <w:r>
        <w:rPr>
          <w:rFonts w:hint="eastAsia" w:ascii="仿宋_GB2312" w:eastAsia="仿宋_GB2312"/>
          <w:sz w:val="32"/>
          <w:szCs w:val="32"/>
        </w:rPr>
        <w:t>公用经费193.27万元，包括：办公费、印刷费、手续费、水费、电费、邮电费、物业管理费、维修（护）费、租赁费、培训费、专用材料费、工会经费、福利费、公务用车运行维护费、其他商品和服务支出、办公设备购置、专用设备购置。</w:t>
      </w:r>
    </w:p>
    <w:p>
      <w:pPr>
        <w:ind w:firstLine="640" w:firstLineChars="200"/>
        <w:outlineLvl w:val="1"/>
        <w:rPr>
          <w:rFonts w:ascii="黑体" w:hAnsi="黑体" w:eastAsia="黑体" w:cs="宋体"/>
          <w:bCs/>
          <w:kern w:val="0"/>
          <w:sz w:val="32"/>
          <w:szCs w:val="32"/>
        </w:rPr>
      </w:pPr>
      <w:bookmarkStart w:id="20" w:name="_Toc21518"/>
      <w:bookmarkStart w:id="21" w:name="_Toc7190"/>
      <w:r>
        <w:rPr>
          <w:rFonts w:hint="eastAsia" w:ascii="黑体" w:hAnsi="黑体" w:eastAsia="黑体" w:cs="宋体"/>
          <w:bCs/>
          <w:kern w:val="0"/>
          <w:sz w:val="32"/>
          <w:szCs w:val="32"/>
        </w:rPr>
        <w:t>七、财政拨款“三公”经费支出决算情况说明</w:t>
      </w:r>
      <w:bookmarkEnd w:id="20"/>
      <w:bookmarkEnd w:id="21"/>
    </w:p>
    <w:p>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年度财政拨款“三公”经费支出决算</w:t>
      </w:r>
      <w:r>
        <w:rPr>
          <w:rFonts w:ascii="仿宋_GB2312" w:eastAsia="仿宋_GB2312"/>
          <w:sz w:val="32"/>
          <w:szCs w:val="32"/>
        </w:rPr>
        <w:t>2.24</w:t>
      </w:r>
      <w:r>
        <w:rPr>
          <w:rFonts w:hint="eastAsia" w:ascii="仿宋_GB2312" w:eastAsia="仿宋_GB2312"/>
          <w:sz w:val="32"/>
          <w:szCs w:val="32"/>
        </w:rPr>
        <w:t>万元，比上年</w:t>
      </w:r>
      <w:r>
        <w:rPr>
          <w:rFonts w:ascii="仿宋_GB2312" w:eastAsia="仿宋_GB2312"/>
          <w:sz w:val="32"/>
          <w:szCs w:val="32"/>
        </w:rPr>
        <w:t>增加0.00</w:t>
      </w:r>
      <w:r>
        <w:rPr>
          <w:rFonts w:hint="eastAsia" w:ascii="仿宋_GB2312" w:eastAsia="仿宋_GB2312"/>
          <w:sz w:val="32"/>
          <w:szCs w:val="32"/>
        </w:rPr>
        <w:t>万元，</w:t>
      </w:r>
      <w:r>
        <w:rPr>
          <w:rFonts w:ascii="仿宋_GB2312" w:eastAsia="仿宋_GB2312"/>
          <w:sz w:val="32"/>
          <w:szCs w:val="32"/>
        </w:rPr>
        <w:t>增长0.00</w:t>
      </w:r>
      <w:r>
        <w:rPr>
          <w:rFonts w:hint="eastAsia" w:ascii="仿宋_GB2312" w:eastAsia="仿宋_GB2312"/>
          <w:sz w:val="32"/>
          <w:szCs w:val="32"/>
        </w:rPr>
        <w:t>%，主要原因是：</w:t>
      </w:r>
      <w:r>
        <w:rPr>
          <w:rFonts w:ascii="仿宋_GB2312" w:eastAsia="仿宋_GB2312"/>
          <w:sz w:val="32"/>
          <w:szCs w:val="32"/>
        </w:rPr>
        <w:t>与上年保持一致，无变化</w:t>
      </w:r>
      <w:r>
        <w:rPr>
          <w:rFonts w:hint="eastAsia" w:ascii="仿宋_GB2312" w:eastAsia="仿宋_GB2312"/>
          <w:sz w:val="32"/>
          <w:szCs w:val="32"/>
        </w:rPr>
        <w:t>。其中：因公出国（境）费支出</w:t>
      </w:r>
      <w:r>
        <w:rPr>
          <w:rFonts w:ascii="仿宋_GB2312" w:eastAsia="仿宋_GB2312"/>
          <w:sz w:val="32"/>
          <w:szCs w:val="32"/>
        </w:rPr>
        <w:t>0.00</w:t>
      </w:r>
      <w:r>
        <w:rPr>
          <w:rFonts w:hint="eastAsia" w:ascii="仿宋_GB2312" w:eastAsia="仿宋_GB2312"/>
          <w:sz w:val="32"/>
          <w:szCs w:val="32"/>
        </w:rPr>
        <w:t>万元，占</w:t>
      </w:r>
      <w:r>
        <w:rPr>
          <w:rFonts w:ascii="仿宋_GB2312" w:eastAsia="仿宋_GB2312"/>
          <w:sz w:val="32"/>
          <w:szCs w:val="32"/>
        </w:rPr>
        <w:t>0.00</w:t>
      </w:r>
      <w:r>
        <w:rPr>
          <w:rFonts w:hint="eastAsia" w:ascii="仿宋_GB2312" w:eastAsia="仿宋_GB2312"/>
          <w:sz w:val="32"/>
          <w:szCs w:val="32"/>
        </w:rPr>
        <w:t>%，比上年</w:t>
      </w:r>
      <w:r>
        <w:rPr>
          <w:rFonts w:ascii="仿宋_GB2312" w:eastAsia="仿宋_GB2312"/>
          <w:sz w:val="32"/>
          <w:szCs w:val="32"/>
        </w:rPr>
        <w:t>增加0.00</w:t>
      </w:r>
      <w:r>
        <w:rPr>
          <w:rFonts w:hint="eastAsia" w:ascii="仿宋_GB2312" w:eastAsia="仿宋_GB2312"/>
          <w:sz w:val="32"/>
          <w:szCs w:val="32"/>
        </w:rPr>
        <w:t>万元，</w:t>
      </w:r>
      <w:r>
        <w:rPr>
          <w:rFonts w:ascii="仿宋_GB2312" w:eastAsia="仿宋_GB2312"/>
          <w:sz w:val="32"/>
          <w:szCs w:val="32"/>
        </w:rPr>
        <w:t>增长0.00</w:t>
      </w:r>
      <w:r>
        <w:rPr>
          <w:rFonts w:hint="eastAsia" w:ascii="仿宋_GB2312" w:eastAsia="仿宋_GB2312"/>
          <w:sz w:val="32"/>
          <w:szCs w:val="32"/>
        </w:rPr>
        <w:t>%，主要原因是：</w:t>
      </w:r>
      <w:r>
        <w:rPr>
          <w:rFonts w:ascii="仿宋_GB2312" w:eastAsia="仿宋_GB2312"/>
          <w:sz w:val="32"/>
          <w:szCs w:val="32"/>
        </w:rPr>
        <w:t>我单位无因公出国（境）费</w:t>
      </w:r>
      <w:r>
        <w:rPr>
          <w:rFonts w:hint="eastAsia" w:ascii="仿宋_GB2312" w:eastAsia="仿宋_GB2312"/>
          <w:sz w:val="32"/>
          <w:szCs w:val="32"/>
        </w:rPr>
        <w:t>；公务用车购置及运行维护费支出</w:t>
      </w:r>
      <w:r>
        <w:rPr>
          <w:rFonts w:ascii="仿宋_GB2312" w:eastAsia="仿宋_GB2312"/>
          <w:sz w:val="32"/>
          <w:szCs w:val="32"/>
        </w:rPr>
        <w:t>2.24</w:t>
      </w:r>
      <w:r>
        <w:rPr>
          <w:rFonts w:hint="eastAsia" w:ascii="仿宋_GB2312" w:eastAsia="仿宋_GB2312"/>
          <w:sz w:val="32"/>
          <w:szCs w:val="32"/>
        </w:rPr>
        <w:t>万元，占</w:t>
      </w:r>
      <w:r>
        <w:rPr>
          <w:rFonts w:ascii="仿宋_GB2312" w:eastAsia="仿宋_GB2312"/>
          <w:sz w:val="32"/>
          <w:szCs w:val="32"/>
        </w:rPr>
        <w:t>100.00</w:t>
      </w:r>
      <w:r>
        <w:rPr>
          <w:rFonts w:hint="eastAsia" w:ascii="仿宋_GB2312" w:eastAsia="仿宋_GB2312"/>
          <w:sz w:val="32"/>
          <w:szCs w:val="32"/>
        </w:rPr>
        <w:t>%，比上年</w:t>
      </w:r>
      <w:r>
        <w:rPr>
          <w:rFonts w:ascii="仿宋_GB2312" w:eastAsia="仿宋_GB2312"/>
          <w:sz w:val="32"/>
          <w:szCs w:val="32"/>
        </w:rPr>
        <w:t>增加0.00</w:t>
      </w:r>
      <w:r>
        <w:rPr>
          <w:rFonts w:hint="eastAsia" w:ascii="仿宋_GB2312" w:eastAsia="仿宋_GB2312"/>
          <w:sz w:val="32"/>
          <w:szCs w:val="32"/>
        </w:rPr>
        <w:t>万元，</w:t>
      </w:r>
      <w:r>
        <w:rPr>
          <w:rFonts w:ascii="仿宋_GB2312" w:eastAsia="仿宋_GB2312"/>
          <w:sz w:val="32"/>
          <w:szCs w:val="32"/>
        </w:rPr>
        <w:t>增长0.00</w:t>
      </w:r>
      <w:r>
        <w:rPr>
          <w:rFonts w:hint="eastAsia" w:ascii="仿宋_GB2312" w:eastAsia="仿宋_GB2312"/>
          <w:sz w:val="32"/>
          <w:szCs w:val="32"/>
        </w:rPr>
        <w:t>%，主要原因是：</w:t>
      </w:r>
      <w:r>
        <w:rPr>
          <w:rFonts w:ascii="仿宋_GB2312" w:eastAsia="仿宋_GB2312"/>
          <w:sz w:val="32"/>
          <w:szCs w:val="32"/>
        </w:rPr>
        <w:t>与上年保持一致，无变化</w:t>
      </w:r>
      <w:r>
        <w:rPr>
          <w:rFonts w:hint="eastAsia" w:ascii="仿宋_GB2312" w:eastAsia="仿宋_GB2312"/>
          <w:sz w:val="32"/>
          <w:szCs w:val="32"/>
        </w:rPr>
        <w:t>；公务接待费支出</w:t>
      </w:r>
      <w:r>
        <w:rPr>
          <w:rFonts w:ascii="仿宋_GB2312" w:eastAsia="仿宋_GB2312"/>
          <w:sz w:val="32"/>
          <w:szCs w:val="32"/>
        </w:rPr>
        <w:t>0.00</w:t>
      </w:r>
      <w:r>
        <w:rPr>
          <w:rFonts w:hint="eastAsia" w:ascii="仿宋_GB2312" w:eastAsia="仿宋_GB2312"/>
          <w:sz w:val="32"/>
          <w:szCs w:val="32"/>
        </w:rPr>
        <w:t>万元，占</w:t>
      </w:r>
      <w:r>
        <w:rPr>
          <w:rFonts w:ascii="仿宋_GB2312" w:eastAsia="仿宋_GB2312"/>
          <w:sz w:val="32"/>
          <w:szCs w:val="32"/>
        </w:rPr>
        <w:t>0.00</w:t>
      </w:r>
      <w:r>
        <w:rPr>
          <w:rFonts w:hint="eastAsia" w:ascii="仿宋_GB2312" w:eastAsia="仿宋_GB2312"/>
          <w:sz w:val="32"/>
          <w:szCs w:val="32"/>
        </w:rPr>
        <w:t>%，比上年</w:t>
      </w:r>
      <w:r>
        <w:rPr>
          <w:rFonts w:ascii="仿宋_GB2312" w:eastAsia="仿宋_GB2312"/>
          <w:sz w:val="32"/>
          <w:szCs w:val="32"/>
        </w:rPr>
        <w:t>增加0.00</w:t>
      </w:r>
      <w:r>
        <w:rPr>
          <w:rFonts w:hint="eastAsia" w:ascii="仿宋_GB2312" w:eastAsia="仿宋_GB2312"/>
          <w:sz w:val="32"/>
          <w:szCs w:val="32"/>
        </w:rPr>
        <w:t>万元，</w:t>
      </w:r>
      <w:r>
        <w:rPr>
          <w:rFonts w:ascii="仿宋_GB2312" w:eastAsia="仿宋_GB2312"/>
          <w:sz w:val="32"/>
          <w:szCs w:val="32"/>
        </w:rPr>
        <w:t>增长0.00</w:t>
      </w:r>
      <w:r>
        <w:rPr>
          <w:rFonts w:hint="eastAsia" w:ascii="仿宋_GB2312" w:eastAsia="仿宋_GB2312"/>
          <w:sz w:val="32"/>
          <w:szCs w:val="32"/>
        </w:rPr>
        <w:t>%，主要原因是：</w:t>
      </w:r>
      <w:r>
        <w:rPr>
          <w:rFonts w:ascii="仿宋_GB2312" w:eastAsia="仿宋_GB2312"/>
          <w:sz w:val="32"/>
          <w:szCs w:val="32"/>
        </w:rPr>
        <w:t>我单位无公务接待费</w:t>
      </w:r>
      <w:r>
        <w:rPr>
          <w:rFonts w:hint="eastAsia" w:ascii="仿宋_GB2312" w:eastAsia="仿宋_GB2312"/>
          <w:sz w:val="32"/>
          <w:szCs w:val="32"/>
        </w:rPr>
        <w:t>。具体情况如下：</w:t>
      </w:r>
    </w:p>
    <w:p>
      <w:pPr>
        <w:ind w:firstLine="640" w:firstLineChars="200"/>
        <w:rPr>
          <w:rFonts w:ascii="仿宋_GB2312" w:eastAsia="仿宋_GB2312"/>
          <w:sz w:val="32"/>
          <w:szCs w:val="32"/>
        </w:rPr>
      </w:pPr>
      <w:r>
        <w:rPr>
          <w:rFonts w:hint="eastAsia" w:ascii="仿宋_GB2312" w:eastAsia="仿宋_GB2312"/>
          <w:sz w:val="32"/>
          <w:szCs w:val="32"/>
        </w:rPr>
        <w:t>因公出国（境）费支出</w:t>
      </w:r>
      <w:r>
        <w:rPr>
          <w:rFonts w:ascii="仿宋_GB2312" w:eastAsia="仿宋_GB2312"/>
          <w:sz w:val="32"/>
          <w:szCs w:val="32"/>
        </w:rPr>
        <w:t>0.00</w:t>
      </w:r>
      <w:r>
        <w:rPr>
          <w:rFonts w:hint="eastAsia" w:ascii="仿宋_GB2312" w:eastAsia="仿宋_GB2312"/>
          <w:sz w:val="32"/>
          <w:szCs w:val="32"/>
        </w:rPr>
        <w:t>万元，开支内容包括我单位无因公出国（境）费。单位全年安排的因公出国（境）团组</w:t>
      </w:r>
      <w:r>
        <w:rPr>
          <w:rFonts w:ascii="仿宋_GB2312" w:eastAsia="仿宋_GB2312"/>
          <w:sz w:val="32"/>
          <w:szCs w:val="32"/>
        </w:rPr>
        <w:t>0</w:t>
      </w:r>
      <w:r>
        <w:rPr>
          <w:rFonts w:hint="eastAsia" w:ascii="仿宋_GB2312" w:eastAsia="仿宋_GB2312"/>
          <w:sz w:val="32"/>
          <w:szCs w:val="32"/>
        </w:rPr>
        <w:t>个，因公出国（境）0人次。</w:t>
      </w:r>
    </w:p>
    <w:p>
      <w:pPr>
        <w:ind w:firstLine="640" w:firstLineChars="200"/>
        <w:rPr>
          <w:rFonts w:ascii="仿宋_GB2312" w:eastAsia="仿宋_GB2312"/>
          <w:sz w:val="32"/>
          <w:szCs w:val="32"/>
        </w:rPr>
      </w:pPr>
      <w:r>
        <w:rPr>
          <w:rFonts w:hint="eastAsia" w:ascii="仿宋_GB2312" w:eastAsia="仿宋_GB2312"/>
          <w:sz w:val="32"/>
          <w:szCs w:val="32"/>
        </w:rPr>
        <w:t>公务用车购置及运行维护费</w:t>
      </w:r>
      <w:r>
        <w:rPr>
          <w:rFonts w:ascii="仿宋_GB2312" w:eastAsia="仿宋_GB2312"/>
          <w:sz w:val="32"/>
          <w:szCs w:val="32"/>
        </w:rPr>
        <w:t>2.24</w:t>
      </w:r>
      <w:r>
        <w:rPr>
          <w:rFonts w:hint="eastAsia" w:ascii="仿宋_GB2312" w:eastAsia="仿宋_GB2312"/>
          <w:sz w:val="32"/>
          <w:szCs w:val="32"/>
        </w:rPr>
        <w:t>万元，其中：公务用车购置费</w:t>
      </w:r>
      <w:r>
        <w:rPr>
          <w:rFonts w:ascii="仿宋_GB2312" w:eastAsia="仿宋_GB2312"/>
          <w:sz w:val="32"/>
          <w:szCs w:val="32"/>
        </w:rPr>
        <w:t>0.00</w:t>
      </w:r>
      <w:r>
        <w:rPr>
          <w:rFonts w:hint="eastAsia" w:ascii="仿宋_GB2312" w:eastAsia="仿宋_GB2312"/>
          <w:sz w:val="32"/>
          <w:szCs w:val="32"/>
        </w:rPr>
        <w:t>万元，公务用车运行维护费</w:t>
      </w:r>
      <w:r>
        <w:rPr>
          <w:rFonts w:ascii="仿宋_GB2312" w:eastAsia="仿宋_GB2312"/>
          <w:sz w:val="32"/>
          <w:szCs w:val="32"/>
        </w:rPr>
        <w:t>2.24</w:t>
      </w:r>
      <w:r>
        <w:rPr>
          <w:rFonts w:hint="eastAsia" w:ascii="仿宋_GB2312" w:eastAsia="仿宋_GB2312"/>
          <w:sz w:val="32"/>
          <w:szCs w:val="32"/>
        </w:rPr>
        <w:t>万元。公务用车运行维护费开支内容包括车辆加油费、车辆维修费、车辆保险费，车辆停车费。公务用车购置数</w:t>
      </w:r>
      <w:r>
        <w:rPr>
          <w:rFonts w:ascii="仿宋_GB2312" w:eastAsia="仿宋_GB2312"/>
          <w:sz w:val="32"/>
          <w:szCs w:val="32"/>
        </w:rPr>
        <w:t>0</w:t>
      </w:r>
      <w:r>
        <w:rPr>
          <w:rFonts w:hint="eastAsia" w:ascii="仿宋_GB2312" w:eastAsia="仿宋_GB2312"/>
          <w:sz w:val="32"/>
          <w:szCs w:val="32"/>
        </w:rPr>
        <w:t>辆，公务用车保有量3辆。</w:t>
      </w:r>
    </w:p>
    <w:p>
      <w:pPr>
        <w:ind w:firstLine="640" w:firstLineChars="200"/>
        <w:rPr>
          <w:rFonts w:ascii="仿宋_GB2312" w:eastAsia="仿宋_GB2312"/>
          <w:sz w:val="32"/>
          <w:szCs w:val="32"/>
        </w:rPr>
      </w:pPr>
      <w:r>
        <w:rPr>
          <w:rFonts w:hint="eastAsia" w:ascii="仿宋_GB2312" w:eastAsia="仿宋_GB2312"/>
          <w:sz w:val="32"/>
          <w:szCs w:val="32"/>
        </w:rPr>
        <w:t>公务接待费</w:t>
      </w:r>
      <w:r>
        <w:rPr>
          <w:rFonts w:ascii="仿宋_GB2312" w:eastAsia="仿宋_GB2312"/>
          <w:sz w:val="32"/>
          <w:szCs w:val="32"/>
        </w:rPr>
        <w:t>0.00</w:t>
      </w:r>
      <w:r>
        <w:rPr>
          <w:rFonts w:hint="eastAsia" w:ascii="仿宋_GB2312" w:eastAsia="仿宋_GB2312"/>
          <w:sz w:val="32"/>
          <w:szCs w:val="32"/>
        </w:rPr>
        <w:t>万元，开支内容包括我单位无公务接待费。单位全年安排的国内公务接待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人次。</w:t>
      </w:r>
    </w:p>
    <w:p>
      <w:pPr>
        <w:ind w:firstLine="640" w:firstLineChars="200"/>
        <w:rPr>
          <w:rFonts w:ascii="仿宋_GB2312" w:eastAsia="仿宋_GB2312"/>
          <w:sz w:val="32"/>
          <w:szCs w:val="32"/>
        </w:rPr>
      </w:pPr>
      <w:r>
        <w:rPr>
          <w:rFonts w:hint="eastAsia" w:ascii="仿宋_GB2312" w:eastAsia="仿宋_GB2312"/>
          <w:sz w:val="32"/>
          <w:szCs w:val="32"/>
        </w:rPr>
        <w:t>与全年预算数相比情况：“三公”经费支出全年预算数2.24万元，决算数</w:t>
      </w:r>
      <w:r>
        <w:rPr>
          <w:rFonts w:ascii="仿宋_GB2312" w:eastAsia="仿宋_GB2312"/>
          <w:sz w:val="32"/>
          <w:szCs w:val="32"/>
        </w:rPr>
        <w:t>2.24</w:t>
      </w:r>
      <w:r>
        <w:rPr>
          <w:rFonts w:hint="eastAsia" w:ascii="仿宋_GB2312" w:eastAsia="仿宋_GB2312"/>
          <w:sz w:val="32"/>
          <w:szCs w:val="32"/>
        </w:rPr>
        <w:t>万元，预决算差异率0.00%，主要原因是：严格按照预算执行，预决算无差异。</w:t>
      </w:r>
      <w:r>
        <w:rPr>
          <w:rFonts w:hint="eastAsia" w:ascii="仿宋_GB2312" w:hAnsi="宋体" w:eastAsia="仿宋_GB2312" w:cs="宋体"/>
          <w:kern w:val="0"/>
          <w:sz w:val="32"/>
          <w:szCs w:val="32"/>
        </w:rPr>
        <w:t>其中：因公出国（境）费全年预算数</w:t>
      </w:r>
      <w:r>
        <w:rPr>
          <w:rFonts w:hint="eastAsia" w:ascii="仿宋_GB2312" w:eastAsia="仿宋_GB2312"/>
          <w:sz w:val="32"/>
          <w:szCs w:val="32"/>
        </w:rPr>
        <w:t>0.00万元，决算数0.00万元，预决算差异率0.00%，主要原因是：我单位无因公出国（境）费；</w:t>
      </w:r>
      <w:r>
        <w:rPr>
          <w:rFonts w:hint="eastAsia" w:ascii="仿宋_GB2312" w:hAnsi="宋体" w:eastAsia="仿宋_GB2312" w:cs="宋体"/>
          <w:kern w:val="0"/>
          <w:sz w:val="32"/>
          <w:szCs w:val="32"/>
        </w:rPr>
        <w:t>公务用车购置</w:t>
      </w:r>
      <w:r>
        <w:rPr>
          <w:rFonts w:hint="eastAsia" w:ascii="仿宋_GB2312" w:eastAsia="仿宋_GB2312"/>
          <w:sz w:val="32"/>
          <w:szCs w:val="32"/>
        </w:rPr>
        <w:t>费全年预算数0.00万元，决算数0.00万元，预决算差异率0.00%，主要原因是：我单位无公务用车购置费；</w:t>
      </w:r>
      <w:r>
        <w:rPr>
          <w:rFonts w:hint="eastAsia" w:ascii="仿宋_GB2312" w:hAnsi="宋体" w:eastAsia="仿宋_GB2312" w:cs="宋体"/>
          <w:kern w:val="0"/>
          <w:sz w:val="32"/>
          <w:szCs w:val="32"/>
        </w:rPr>
        <w:t>公务用车运行费全年</w:t>
      </w:r>
      <w:r>
        <w:rPr>
          <w:rFonts w:hint="eastAsia" w:ascii="仿宋_GB2312" w:eastAsia="仿宋_GB2312"/>
          <w:sz w:val="32"/>
          <w:szCs w:val="32"/>
        </w:rPr>
        <w:t>预算数2.24万元，决算数2.24万元，预决算差异率0.00%，主要原因是：严格按照预算执行，预决算无差异；</w:t>
      </w:r>
      <w:r>
        <w:rPr>
          <w:rFonts w:hint="eastAsia" w:ascii="仿宋_GB2312" w:hAnsi="宋体" w:eastAsia="仿宋_GB2312" w:cs="宋体"/>
          <w:kern w:val="0"/>
          <w:sz w:val="32"/>
          <w:szCs w:val="32"/>
        </w:rPr>
        <w:t>公务接待费全年</w:t>
      </w:r>
      <w:r>
        <w:rPr>
          <w:rFonts w:hint="eastAsia" w:ascii="仿宋_GB2312" w:eastAsia="仿宋_GB2312"/>
          <w:sz w:val="32"/>
          <w:szCs w:val="32"/>
        </w:rPr>
        <w:t>预算数</w:t>
      </w:r>
      <w:r>
        <w:rPr>
          <w:rFonts w:ascii="仿宋_GB2312" w:eastAsia="仿宋_GB2312"/>
          <w:sz w:val="32"/>
          <w:szCs w:val="32"/>
        </w:rPr>
        <w:t>0.00</w:t>
      </w:r>
      <w:r>
        <w:rPr>
          <w:rFonts w:hint="eastAsia" w:ascii="仿宋_GB2312" w:eastAsia="仿宋_GB2312"/>
          <w:sz w:val="32"/>
          <w:szCs w:val="32"/>
        </w:rPr>
        <w:t>万元，决算数</w:t>
      </w:r>
      <w:r>
        <w:rPr>
          <w:rFonts w:ascii="仿宋_GB2312" w:eastAsia="仿宋_GB2312"/>
          <w:sz w:val="32"/>
          <w:szCs w:val="32"/>
        </w:rPr>
        <w:t>0.00</w:t>
      </w:r>
      <w:r>
        <w:rPr>
          <w:rFonts w:hint="eastAsia" w:ascii="仿宋_GB2312" w:eastAsia="仿宋_GB2312"/>
          <w:sz w:val="32"/>
          <w:szCs w:val="32"/>
        </w:rPr>
        <w:t>万元，预决算差异率0.00%，主要原因是：我单位无公务接待费。</w:t>
      </w:r>
    </w:p>
    <w:p>
      <w:pPr>
        <w:ind w:firstLine="640" w:firstLineChars="200"/>
        <w:outlineLvl w:val="1"/>
        <w:rPr>
          <w:rFonts w:ascii="黑体" w:hAnsi="黑体" w:eastAsia="黑体" w:cs="宋体"/>
          <w:bCs/>
          <w:kern w:val="0"/>
          <w:sz w:val="32"/>
          <w:szCs w:val="32"/>
        </w:rPr>
      </w:pPr>
      <w:bookmarkStart w:id="22" w:name="_Toc7927"/>
      <w:bookmarkStart w:id="23" w:name="_Toc5810"/>
      <w:r>
        <w:rPr>
          <w:rFonts w:hint="eastAsia" w:ascii="黑体" w:hAnsi="黑体" w:eastAsia="黑体" w:cs="宋体"/>
          <w:bCs/>
          <w:kern w:val="0"/>
          <w:sz w:val="32"/>
          <w:szCs w:val="32"/>
        </w:rPr>
        <w:t>八、政府性基金预算财政拨款收入支出决算情况说明</w:t>
      </w:r>
      <w:bookmarkEnd w:id="22"/>
      <w:bookmarkEnd w:id="23"/>
    </w:p>
    <w:p>
      <w:pPr>
        <w:ind w:firstLine="640" w:firstLineChars="200"/>
        <w:rPr>
          <w:rFonts w:ascii="仿宋_GB2312" w:eastAsia="仿宋_GB2312"/>
          <w:sz w:val="32"/>
          <w:szCs w:val="32"/>
        </w:rPr>
      </w:pPr>
      <w:r>
        <w:rPr>
          <w:rFonts w:hint="eastAsia" w:ascii="仿宋_GB2312" w:eastAsia="仿宋_GB2312"/>
          <w:sz w:val="32"/>
          <w:szCs w:val="32"/>
        </w:rPr>
        <w:t>我单位本年度无政府性基金预算财政拨款收入、支出及结转和结余，政府性基金预算财政拨款收入支出决算表为空表。</w:t>
      </w:r>
    </w:p>
    <w:p>
      <w:pPr>
        <w:ind w:firstLine="640" w:firstLineChars="200"/>
        <w:rPr>
          <w:rFonts w:ascii="Arial" w:hAnsi="Arial" w:cs="Arial"/>
          <w:color w:val="4D4D4D"/>
          <w:shd w:val="clear" w:color="auto" w:fill="FFFFFF"/>
        </w:rPr>
      </w:pPr>
      <w:r>
        <w:rPr>
          <w:rFonts w:hint="eastAsia" w:ascii="黑体" w:hAnsi="黑体" w:eastAsia="黑体" w:cs="宋体"/>
          <w:bCs/>
          <w:kern w:val="0"/>
          <w:sz w:val="32"/>
          <w:szCs w:val="32"/>
        </w:rPr>
        <w:t>九、国有资本经营预算财政拨款收入支出决算情况说明</w:t>
      </w:r>
    </w:p>
    <w:p>
      <w:pPr>
        <w:ind w:firstLine="640" w:firstLineChars="200"/>
        <w:rPr>
          <w:rFonts w:ascii="仿宋_GB2312" w:eastAsia="仿宋_GB2312"/>
          <w:sz w:val="32"/>
          <w:szCs w:val="32"/>
        </w:rPr>
      </w:pPr>
      <w:r>
        <w:rPr>
          <w:rFonts w:hint="eastAsia" w:ascii="仿宋_GB2312" w:eastAsia="仿宋_GB2312"/>
          <w:sz w:val="32"/>
          <w:szCs w:val="32"/>
        </w:rPr>
        <w:t>我单位本年度无国有资本经营预算财政拨款收入、支出及结转和结余，国有资本经营预算财政拨款收入支出决算表为空表。</w:t>
      </w:r>
    </w:p>
    <w:p>
      <w:pPr>
        <w:ind w:firstLine="640" w:firstLineChars="200"/>
        <w:rPr>
          <w:rFonts w:ascii="仿宋_GB2312" w:eastAsia="仿宋_GB2312"/>
          <w:sz w:val="32"/>
          <w:szCs w:val="32"/>
        </w:rPr>
      </w:pPr>
      <w:r>
        <w:rPr>
          <w:rFonts w:hint="eastAsia" w:ascii="黑体" w:hAnsi="黑体" w:eastAsia="黑体" w:cs="宋体"/>
          <w:bCs/>
          <w:kern w:val="0"/>
          <w:sz w:val="32"/>
          <w:szCs w:val="32"/>
        </w:rPr>
        <w:t>十、其他重要事项的情况说明</w:t>
      </w:r>
    </w:p>
    <w:p>
      <w:pPr>
        <w:ind w:firstLine="640" w:firstLineChars="200"/>
        <w:outlineLvl w:val="2"/>
        <w:rPr>
          <w:rFonts w:ascii="黑体" w:hAnsi="黑体" w:eastAsia="黑体"/>
          <w:sz w:val="32"/>
          <w:szCs w:val="32"/>
        </w:rPr>
      </w:pPr>
      <w:r>
        <w:rPr>
          <w:rFonts w:hint="eastAsia" w:ascii="黑体" w:hAnsi="黑体" w:eastAsia="黑体"/>
          <w:sz w:val="32"/>
          <w:szCs w:val="32"/>
        </w:rPr>
        <w:t>（一）机关运行经费支出情况</w:t>
      </w:r>
    </w:p>
    <w:p>
      <w:pPr>
        <w:ind w:firstLine="640" w:firstLineChars="200"/>
        <w:outlineLvl w:val="2"/>
        <w:rPr>
          <w:rFonts w:ascii="黑体" w:hAnsi="黑体" w:eastAsia="黑体"/>
          <w:sz w:val="32"/>
          <w:szCs w:val="32"/>
        </w:rPr>
      </w:pPr>
      <w:r>
        <w:rPr>
          <w:rFonts w:hint="eastAsia" w:ascii="仿宋_GB2312" w:eastAsia="仿宋_GB2312"/>
          <w:sz w:val="32"/>
          <w:szCs w:val="32"/>
        </w:rPr>
        <w:t>2022年度乌鲁木齐市第九中学（事业单位）公用经费193.27万元，比上年减少128.90万元，下降40.01%，主要原因是：2022年下半年受疫情影响，公用取暖费未支付。</w:t>
      </w:r>
    </w:p>
    <w:p>
      <w:pPr>
        <w:ind w:firstLine="800" w:firstLineChars="250"/>
        <w:outlineLvl w:val="2"/>
        <w:rPr>
          <w:rFonts w:ascii="黑体" w:hAnsi="黑体" w:eastAsia="黑体"/>
          <w:sz w:val="32"/>
          <w:szCs w:val="32"/>
        </w:rPr>
      </w:pPr>
      <w:bookmarkStart w:id="24" w:name="_Toc26704"/>
      <w:bookmarkStart w:id="25" w:name="_Toc227"/>
      <w:r>
        <w:rPr>
          <w:rFonts w:hint="eastAsia" w:ascii="黑体" w:hAnsi="黑体" w:eastAsia="黑体"/>
          <w:sz w:val="32"/>
          <w:szCs w:val="32"/>
        </w:rPr>
        <w:t>（二）政府采购情况</w:t>
      </w:r>
      <w:bookmarkEnd w:id="24"/>
      <w:bookmarkEnd w:id="25"/>
    </w:p>
    <w:p>
      <w:pPr>
        <w:ind w:firstLine="640" w:firstLineChars="200"/>
        <w:rPr>
          <w:rFonts w:ascii="仿宋_GB2312" w:eastAsia="仿宋_GB2312"/>
          <w:sz w:val="32"/>
          <w:szCs w:val="32"/>
        </w:rPr>
      </w:pPr>
      <w:r>
        <w:rPr>
          <w:rFonts w:hint="eastAsia" w:ascii="仿宋_GB2312" w:eastAsia="仿宋_GB2312"/>
          <w:sz w:val="32"/>
          <w:szCs w:val="32"/>
        </w:rPr>
        <w:t>2022年度政府采购支出总额</w:t>
      </w:r>
      <w:r>
        <w:rPr>
          <w:rFonts w:ascii="仿宋_GB2312" w:eastAsia="仿宋_GB2312"/>
          <w:sz w:val="32"/>
          <w:szCs w:val="32"/>
        </w:rPr>
        <w:t>10.23</w:t>
      </w:r>
      <w:r>
        <w:rPr>
          <w:rFonts w:hint="eastAsia" w:ascii="仿宋_GB2312" w:eastAsia="仿宋_GB2312"/>
          <w:sz w:val="32"/>
          <w:szCs w:val="32"/>
        </w:rPr>
        <w:t>万元，其中：政府采购货物支出</w:t>
      </w:r>
      <w:r>
        <w:rPr>
          <w:rFonts w:ascii="仿宋_GB2312" w:eastAsia="仿宋_GB2312"/>
          <w:sz w:val="32"/>
          <w:szCs w:val="32"/>
        </w:rPr>
        <w:t>7.98</w:t>
      </w:r>
      <w:r>
        <w:rPr>
          <w:rFonts w:hint="eastAsia" w:ascii="仿宋_GB2312" w:eastAsia="仿宋_GB2312"/>
          <w:sz w:val="32"/>
          <w:szCs w:val="32"/>
        </w:rPr>
        <w:t>万元、政府采购工程支出</w:t>
      </w:r>
      <w:r>
        <w:rPr>
          <w:rFonts w:ascii="仿宋_GB2312" w:eastAsia="仿宋_GB2312"/>
          <w:sz w:val="32"/>
          <w:szCs w:val="32"/>
        </w:rPr>
        <w:t>0.00</w:t>
      </w:r>
      <w:r>
        <w:rPr>
          <w:rFonts w:hint="eastAsia" w:ascii="仿宋_GB2312" w:eastAsia="仿宋_GB2312"/>
          <w:sz w:val="32"/>
          <w:szCs w:val="32"/>
        </w:rPr>
        <w:t>万元、政府采购服务支出</w:t>
      </w:r>
      <w:r>
        <w:rPr>
          <w:rFonts w:ascii="仿宋_GB2312" w:eastAsia="仿宋_GB2312"/>
          <w:sz w:val="32"/>
          <w:szCs w:val="32"/>
        </w:rPr>
        <w:t>2.25</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授予中小企业合同金额</w:t>
      </w:r>
      <w:r>
        <w:rPr>
          <w:rFonts w:ascii="仿宋_GB2312" w:eastAsia="仿宋_GB2312"/>
          <w:sz w:val="32"/>
          <w:szCs w:val="32"/>
        </w:rPr>
        <w:t>10.23</w:t>
      </w:r>
      <w:r>
        <w:rPr>
          <w:rFonts w:hint="eastAsia" w:ascii="仿宋_GB2312" w:eastAsia="仿宋_GB2312"/>
          <w:sz w:val="32"/>
          <w:szCs w:val="32"/>
        </w:rPr>
        <w:t>万元，占政府采购支出总额的</w:t>
      </w:r>
      <w:r>
        <w:rPr>
          <w:rFonts w:ascii="仿宋_GB2312" w:eastAsia="仿宋_GB2312"/>
          <w:sz w:val="32"/>
          <w:szCs w:val="32"/>
        </w:rPr>
        <w:t>100.00</w:t>
      </w:r>
      <w:r>
        <w:rPr>
          <w:rFonts w:hint="eastAsia" w:ascii="仿宋_GB2312" w:eastAsia="仿宋_GB2312"/>
          <w:sz w:val="32"/>
          <w:szCs w:val="32"/>
        </w:rPr>
        <w:t>%，其中：授予小微企业合同金额</w:t>
      </w:r>
      <w:r>
        <w:rPr>
          <w:rFonts w:ascii="仿宋_GB2312" w:eastAsia="仿宋_GB2312"/>
          <w:sz w:val="32"/>
          <w:szCs w:val="32"/>
        </w:rPr>
        <w:t>10.23</w:t>
      </w:r>
      <w:r>
        <w:rPr>
          <w:rFonts w:hint="eastAsia" w:ascii="仿宋_GB2312" w:eastAsia="仿宋_GB2312"/>
          <w:sz w:val="32"/>
          <w:szCs w:val="32"/>
        </w:rPr>
        <w:t>万元，占政府采购支出总额的</w:t>
      </w:r>
      <w:r>
        <w:rPr>
          <w:rFonts w:ascii="仿宋_GB2312" w:eastAsia="仿宋_GB2312"/>
          <w:sz w:val="32"/>
          <w:szCs w:val="32"/>
        </w:rPr>
        <w:t>100.00</w:t>
      </w:r>
      <w:r>
        <w:rPr>
          <w:rFonts w:hint="eastAsia" w:ascii="仿宋_GB2312" w:eastAsia="仿宋_GB2312"/>
          <w:sz w:val="32"/>
          <w:szCs w:val="32"/>
        </w:rPr>
        <w:t>%。</w:t>
      </w:r>
    </w:p>
    <w:p>
      <w:pPr>
        <w:ind w:firstLine="640" w:firstLineChars="200"/>
        <w:outlineLvl w:val="2"/>
        <w:rPr>
          <w:rFonts w:ascii="黑体" w:hAnsi="黑体" w:eastAsia="黑体"/>
          <w:sz w:val="32"/>
          <w:szCs w:val="32"/>
        </w:rPr>
      </w:pPr>
      <w:bookmarkStart w:id="26" w:name="_Toc4591"/>
      <w:bookmarkStart w:id="27" w:name="_Toc8391"/>
      <w:r>
        <w:rPr>
          <w:rFonts w:hint="eastAsia" w:ascii="黑体" w:hAnsi="黑体" w:eastAsia="黑体"/>
          <w:sz w:val="32"/>
          <w:szCs w:val="32"/>
        </w:rPr>
        <w:t>（三）国有资产占用情况说明</w:t>
      </w:r>
      <w:bookmarkEnd w:id="26"/>
      <w:bookmarkEnd w:id="27"/>
    </w:p>
    <w:p>
      <w:pPr>
        <w:ind w:firstLine="640" w:firstLineChars="200"/>
        <w:rPr>
          <w:rFonts w:ascii="仿宋_GB2312" w:eastAsia="仿宋_GB2312"/>
          <w:sz w:val="32"/>
          <w:szCs w:val="32"/>
        </w:rPr>
      </w:pPr>
      <w:r>
        <w:rPr>
          <w:rFonts w:hint="eastAsia" w:ascii="仿宋_GB2312" w:eastAsia="仿宋_GB2312"/>
          <w:sz w:val="32"/>
          <w:szCs w:val="32"/>
        </w:rPr>
        <w:t>截止2022年12月31日，固定资产原值7,586.87万元，房屋</w:t>
      </w:r>
      <w:r>
        <w:rPr>
          <w:rFonts w:ascii="仿宋_GB2312" w:eastAsia="仿宋_GB2312"/>
          <w:sz w:val="32"/>
          <w:szCs w:val="32"/>
        </w:rPr>
        <w:t>25,746.89</w:t>
      </w:r>
      <w:r>
        <w:rPr>
          <w:rFonts w:hint="eastAsia" w:ascii="仿宋_GB2312" w:eastAsia="仿宋_GB2312"/>
          <w:sz w:val="32"/>
          <w:szCs w:val="32"/>
        </w:rPr>
        <w:t>平方米，价值</w:t>
      </w:r>
      <w:r>
        <w:rPr>
          <w:rFonts w:ascii="仿宋_GB2312" w:eastAsia="仿宋_GB2312"/>
          <w:sz w:val="32"/>
          <w:szCs w:val="32"/>
        </w:rPr>
        <w:t>4,517.87</w:t>
      </w:r>
      <w:r>
        <w:rPr>
          <w:rFonts w:hint="eastAsia" w:ascii="仿宋_GB2312" w:eastAsia="仿宋_GB2312"/>
          <w:sz w:val="32"/>
          <w:szCs w:val="32"/>
        </w:rPr>
        <w:t>万元。车辆</w:t>
      </w:r>
      <w:r>
        <w:rPr>
          <w:rFonts w:ascii="仿宋_GB2312" w:eastAsia="仿宋_GB2312"/>
          <w:sz w:val="32"/>
          <w:szCs w:val="32"/>
        </w:rPr>
        <w:t>3</w:t>
      </w:r>
      <w:r>
        <w:rPr>
          <w:rFonts w:hint="eastAsia" w:ascii="仿宋_GB2312" w:eastAsia="仿宋_GB2312"/>
          <w:sz w:val="32"/>
          <w:szCs w:val="32"/>
        </w:rPr>
        <w:t>辆，价值</w:t>
      </w:r>
      <w:r>
        <w:rPr>
          <w:rFonts w:ascii="仿宋_GB2312" w:eastAsia="仿宋_GB2312"/>
          <w:sz w:val="32"/>
          <w:szCs w:val="32"/>
        </w:rPr>
        <w:t>57.05</w:t>
      </w:r>
      <w:r>
        <w:rPr>
          <w:rFonts w:hint="eastAsia" w:ascii="仿宋_GB2312" w:eastAsia="仿宋_GB2312"/>
          <w:sz w:val="32"/>
          <w:szCs w:val="32"/>
        </w:rPr>
        <w:t>万元，其中：副部（省）级及以上领导用车0辆、主要领导干部用车0辆、机要通信用车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辆、执法执勤用车</w:t>
      </w:r>
      <w:r>
        <w:rPr>
          <w:rFonts w:ascii="仿宋_GB2312" w:eastAsia="仿宋_GB2312"/>
          <w:sz w:val="32"/>
          <w:szCs w:val="32"/>
        </w:rPr>
        <w:t>0</w:t>
      </w:r>
      <w:r>
        <w:rPr>
          <w:rFonts w:hint="eastAsia" w:ascii="仿宋_GB2312" w:eastAsia="仿宋_GB2312"/>
          <w:sz w:val="32"/>
          <w:szCs w:val="32"/>
        </w:rPr>
        <w:t>辆、特种专业技术用车</w:t>
      </w:r>
      <w:r>
        <w:rPr>
          <w:rFonts w:ascii="仿宋_GB2312" w:eastAsia="仿宋_GB2312"/>
          <w:sz w:val="32"/>
          <w:szCs w:val="32"/>
        </w:rPr>
        <w:t>0</w:t>
      </w:r>
      <w:r>
        <w:rPr>
          <w:rFonts w:hint="eastAsia" w:ascii="仿宋_GB2312" w:eastAsia="仿宋_GB2312"/>
          <w:sz w:val="32"/>
          <w:szCs w:val="32"/>
        </w:rPr>
        <w:t>辆、离退休干部用车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3</w:t>
      </w:r>
      <w:r>
        <w:rPr>
          <w:rFonts w:hint="eastAsia" w:ascii="仿宋_GB2312" w:eastAsia="仿宋_GB2312"/>
          <w:sz w:val="32"/>
          <w:szCs w:val="32"/>
        </w:rPr>
        <w:t>辆，其他用车主要是：学校外出学习及教研教学活动等公务用车；单价100万元（含）以上设备（不含车辆）</w:t>
      </w:r>
      <w:r>
        <w:rPr>
          <w:rFonts w:ascii="仿宋_GB2312" w:eastAsia="仿宋_GB2312"/>
          <w:sz w:val="32"/>
          <w:szCs w:val="32"/>
        </w:rPr>
        <w:t>1</w:t>
      </w:r>
      <w:r>
        <w:rPr>
          <w:rFonts w:hint="eastAsia" w:ascii="仿宋_GB2312" w:eastAsia="仿宋_GB2312"/>
          <w:sz w:val="32"/>
          <w:szCs w:val="32"/>
        </w:rPr>
        <w:t>台（套）。</w:t>
      </w:r>
    </w:p>
    <w:p>
      <w:pPr>
        <w:ind w:firstLine="640" w:firstLineChars="200"/>
        <w:outlineLvl w:val="1"/>
        <w:rPr>
          <w:rFonts w:ascii="黑体" w:hAnsi="黑体" w:eastAsia="黑体" w:cs="宋体"/>
          <w:bCs/>
          <w:kern w:val="0"/>
          <w:sz w:val="32"/>
          <w:szCs w:val="32"/>
        </w:rPr>
      </w:pPr>
      <w:bookmarkStart w:id="28" w:name="_Toc11283"/>
      <w:bookmarkStart w:id="29" w:name="_Toc435"/>
      <w:r>
        <w:rPr>
          <w:rFonts w:hint="eastAsia" w:ascii="黑体" w:hAnsi="黑体" w:eastAsia="黑体" w:cs="宋体"/>
          <w:bCs/>
          <w:kern w:val="0"/>
          <w:sz w:val="32"/>
          <w:szCs w:val="32"/>
        </w:rPr>
        <w:t>十一、预算绩效的情况说明</w:t>
      </w:r>
      <w:bookmarkEnd w:id="28"/>
      <w:bookmarkEnd w:id="29"/>
    </w:p>
    <w:p>
      <w:pPr>
        <w:ind w:firstLine="640" w:firstLineChars="200"/>
        <w:rPr>
          <w:rFonts w:ascii="仿宋_GB2312" w:eastAsia="仿宋_GB2312"/>
          <w:sz w:val="32"/>
          <w:szCs w:val="32"/>
        </w:rPr>
      </w:pPr>
      <w:r>
        <w:rPr>
          <w:rFonts w:hint="eastAsia" w:ascii="仿宋_GB2312" w:eastAsia="仿宋_GB2312"/>
          <w:sz w:val="32"/>
          <w:szCs w:val="32"/>
        </w:rPr>
        <w:t>根据预算绩效管理要求，我单位</w:t>
      </w:r>
      <w:r>
        <w:rPr>
          <w:rFonts w:ascii="仿宋_GB2312" w:eastAsia="仿宋_GB2312"/>
          <w:sz w:val="32"/>
          <w:szCs w:val="32"/>
        </w:rPr>
        <w:t>2022</w:t>
      </w:r>
      <w:r>
        <w:rPr>
          <w:rFonts w:hint="eastAsia" w:ascii="仿宋_GB2312" w:eastAsia="仿宋_GB2312"/>
          <w:sz w:val="32"/>
          <w:szCs w:val="32"/>
        </w:rPr>
        <w:t>年度开展预算绩效评价项目</w:t>
      </w:r>
      <w:r>
        <w:rPr>
          <w:rFonts w:ascii="仿宋_GB2312" w:eastAsia="仿宋_GB2312"/>
          <w:sz w:val="32"/>
          <w:szCs w:val="32"/>
        </w:rPr>
        <w:t>6</w:t>
      </w:r>
      <w:r>
        <w:rPr>
          <w:rFonts w:hint="eastAsia" w:ascii="仿宋_GB2312" w:eastAsia="仿宋_GB2312"/>
          <w:sz w:val="32"/>
          <w:szCs w:val="32"/>
        </w:rPr>
        <w:t>个，全年预算数172.56万元，全年执行数147.52万元。预算绩效管理取得的成效：</w:t>
      </w:r>
      <w:r>
        <w:rPr>
          <w:rFonts w:ascii="仿宋_GB2312" w:eastAsia="仿宋_GB2312"/>
          <w:sz w:val="32"/>
          <w:szCs w:val="32"/>
        </w:rPr>
        <w:t>一是确保资金的高效使用，切实发挥财政资金的使用效果；二是严格按照工作职责和相关文件依据，确保专款专用；三是严格控制资金的流出方向，确保资金的合规性</w:t>
      </w:r>
      <w:r>
        <w:rPr>
          <w:rFonts w:hint="eastAsia" w:ascii="仿宋_GB2312" w:eastAsia="仿宋_GB2312"/>
          <w:sz w:val="32"/>
          <w:szCs w:val="32"/>
        </w:rPr>
        <w:t>。发现的问题及原因：</w:t>
      </w:r>
      <w:r>
        <w:rPr>
          <w:rFonts w:ascii="仿宋_GB2312" w:eastAsia="仿宋_GB2312"/>
          <w:sz w:val="32"/>
          <w:szCs w:val="32"/>
        </w:rPr>
        <w:t>一是对各项指标和指标值需要进一步优化、完善，主要在细化、量化上改进；二是自评价工作还存在自我审定的局限性，会影响评价质量，容易造成问题的疏漏，在客观性和公正性上说服力不强</w:t>
      </w:r>
      <w:r>
        <w:rPr>
          <w:rFonts w:hint="eastAsia" w:ascii="仿宋_GB2312" w:eastAsia="仿宋_GB2312"/>
          <w:sz w:val="32"/>
          <w:szCs w:val="32"/>
        </w:rPr>
        <w:t>。下一步改进措施：</w:t>
      </w:r>
      <w:r>
        <w:rPr>
          <w:rFonts w:ascii="仿宋_GB2312" w:eastAsia="仿宋_GB2312"/>
          <w:sz w:val="32"/>
          <w:szCs w:val="32"/>
        </w:rPr>
        <w:t>一是加强学习，进一步明确如何参照考核体系，科学合理设定绩效目标，充分发挥预算绩效管理工作效用；二是财务上会计核算要更加详细，为本单位各项工作的开展、总结、评估提供有效数据资料支撑,为各项业务工作更好的开展提供帮助</w:t>
      </w:r>
      <w:r>
        <w:rPr>
          <w:rFonts w:hint="eastAsia" w:ascii="仿宋_GB2312" w:eastAsia="仿宋_GB2312"/>
          <w:sz w:val="32"/>
          <w:szCs w:val="32"/>
        </w:rPr>
        <w:t>。具体项目自评情况附项目支出绩效自评表。</w:t>
      </w:r>
    </w:p>
    <w:p>
      <w:pPr>
        <w:widowControl/>
        <w:jc w:val="left"/>
        <w:rPr>
          <w:rFonts w:ascii="黑体" w:hAnsi="黑体" w:eastAsia="黑体"/>
          <w:sz w:val="32"/>
          <w:szCs w:val="32"/>
        </w:rPr>
      </w:pPr>
      <w:bookmarkStart w:id="30" w:name="_Toc24143"/>
      <w:bookmarkStart w:id="31" w:name="_Toc3250"/>
      <w:r>
        <w:rPr>
          <w:rFonts w:hint="eastAsia" w:ascii="黑体" w:hAnsi="黑体" w:eastAsia="黑体"/>
          <w:sz w:val="32"/>
          <w:szCs w:val="32"/>
        </w:rPr>
        <w:br w:type="page"/>
      </w:r>
    </w:p>
    <w:tbl>
      <w:tblPr>
        <w:tblStyle w:val="11"/>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(2022年度)</w:t>
            </w:r>
          </w:p>
        </w:tc>
      </w:tr>
      <w:tr>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城乡义务教育保障机制公用经费</w:t>
            </w:r>
          </w:p>
        </w:tc>
      </w:tr>
      <w:tr>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乌鲁木齐市第九中学</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乌鲁木齐市第九中学</w:t>
            </w:r>
          </w:p>
        </w:tc>
      </w:tr>
      <w:tr>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67.66</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67.66</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10.00分</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67.66</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67.66</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上年结转资金</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jc w:val="center"/>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tblPrEx>
          <w:tblCellMar>
            <w:top w:w="0" w:type="dxa"/>
            <w:left w:w="108" w:type="dxa"/>
            <w:bottom w:w="0" w:type="dxa"/>
            <w:right w:w="108" w:type="dxa"/>
          </w:tblCellMar>
        </w:tblPrEx>
        <w:trPr>
          <w:jc w:val="center"/>
        </w:trPr>
        <w:tc>
          <w:tcPr>
            <w:tcW w:w="7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10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年我校城乡义务教育保障金下达67.66万元，主要用于补充城乡义务教育学校（含民办学校）的教学经费，其中初中796人，按照生均850元/年的标准补助。通过项目的实施，保障学校正常运转、顺利完成教学活动，改善学校环境，提高教学水平。</w:t>
            </w:r>
          </w:p>
        </w:tc>
        <w:tc>
          <w:tcPr>
            <w:tcW w:w="421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全年支付城乡义务教育保障金67.66万元，用于支付学校零星维修工程、支付保安服务费等公用支出。项目的实施改善了教学环境，保障学校正常运行，顺利完成教育教学活动，提高教学水平。学生满意度90%。</w:t>
            </w:r>
          </w:p>
        </w:tc>
      </w:tr>
      <w:tr>
        <w:tblPrEx>
          <w:tblCellMar>
            <w:top w:w="0" w:type="dxa"/>
            <w:left w:w="108" w:type="dxa"/>
            <w:bottom w:w="0" w:type="dxa"/>
            <w:right w:w="108" w:type="dxa"/>
          </w:tblCellMar>
        </w:tblPrEx>
        <w:trPr>
          <w:trHeight w:val="312" w:hRule="atLeast"/>
          <w:jc w:val="center"/>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　</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一级指标</w:t>
            </w:r>
          </w:p>
        </w:tc>
        <w:tc>
          <w:tcPr>
            <w:tcW w:w="1465"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tblPrEx>
          <w:tblCellMar>
            <w:top w:w="0" w:type="dxa"/>
            <w:left w:w="108" w:type="dxa"/>
            <w:bottom w:w="0" w:type="dxa"/>
            <w:right w:w="108" w:type="dxa"/>
          </w:tblCellMar>
        </w:tblPrEx>
        <w:trPr>
          <w:trHeight w:val="312" w:hRule="atLeast"/>
          <w:jc w:val="center"/>
        </w:trPr>
        <w:tc>
          <w:tcPr>
            <w:tcW w:w="7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sz w:val="20"/>
              </w:rPr>
              <w:t>年度绩效指标完成情况</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产出指标</w:t>
            </w:r>
          </w:p>
        </w:tc>
        <w:tc>
          <w:tcPr>
            <w:tcW w:w="1465"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数量指标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补助学生人数（初中）</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&gt;=796人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796人</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continue"/>
            <w:tcBorders>
              <w:top w:val="nil"/>
              <w:left w:val="single" w:color="auto" w:sz="4" w:space="0"/>
              <w:bottom w:val="single" w:color="auto" w:sz="4" w:space="0"/>
              <w:right w:val="single" w:color="auto" w:sz="4" w:space="0"/>
            </w:tcBorders>
            <w:shd w:val="clear" w:color="auto" w:fill="auto"/>
            <w:vAlign w:val="center"/>
          </w:tcP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补助学生人数（小学）</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0人</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continue"/>
            <w:tcBorders>
              <w:top w:val="nil"/>
              <w:left w:val="single" w:color="auto" w:sz="4" w:space="0"/>
              <w:bottom w:val="single" w:color="auto" w:sz="4" w:space="0"/>
              <w:right w:val="single" w:color="auto" w:sz="4" w:space="0"/>
            </w:tcBorders>
            <w:shd w:val="clear" w:color="auto" w:fill="auto"/>
            <w:vAlign w:val="center"/>
          </w:tcP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补助学生人数（寄宿生）</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0人</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continue"/>
            <w:tcBorders>
              <w:top w:val="nil"/>
              <w:left w:val="single" w:color="auto" w:sz="4" w:space="0"/>
              <w:bottom w:val="single" w:color="auto" w:sz="4" w:space="0"/>
              <w:right w:val="single" w:color="auto" w:sz="4" w:space="0"/>
            </w:tcBorders>
            <w:shd w:val="clear" w:color="auto" w:fill="auto"/>
            <w:vAlign w:val="center"/>
          </w:tcP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补助学生人数（随班就读学生）</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0人</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continue"/>
            <w:tcBorders>
              <w:top w:val="nil"/>
              <w:left w:val="single" w:color="auto" w:sz="4" w:space="0"/>
              <w:bottom w:val="single" w:color="auto" w:sz="4" w:space="0"/>
              <w:right w:val="single" w:color="auto" w:sz="4" w:space="0"/>
            </w:tcBorders>
            <w:shd w:val="clear" w:color="auto" w:fill="auto"/>
            <w:vAlign w:val="center"/>
          </w:tcP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补助学生人数（特教学生）</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0人</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公用经费使用合规率</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截至2022年12月资金执行率</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成本指标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初中生均公用经费基准定额</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=850元/生/年</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850元/生/年</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continue"/>
            <w:tcBorders>
              <w:top w:val="nil"/>
              <w:left w:val="single" w:color="auto" w:sz="4" w:space="0"/>
              <w:bottom w:val="single" w:color="auto" w:sz="4" w:space="0"/>
              <w:right w:val="single" w:color="auto" w:sz="4" w:space="0"/>
            </w:tcBorders>
            <w:shd w:val="clear" w:color="auto" w:fill="auto"/>
            <w:vAlign w:val="center"/>
          </w:tcP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取暖费生均公用经费补助标准</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=180元/生/年</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180元/生/年</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continue"/>
            <w:tcBorders>
              <w:top w:val="nil"/>
              <w:left w:val="single" w:color="auto" w:sz="4" w:space="0"/>
              <w:bottom w:val="single" w:color="auto" w:sz="4" w:space="0"/>
              <w:right w:val="single" w:color="auto" w:sz="4" w:space="0"/>
            </w:tcBorders>
            <w:shd w:val="clear" w:color="auto" w:fill="auto"/>
            <w:vAlign w:val="center"/>
          </w:tcP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小学生均公用经费基准定额</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=650元/生/年</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650元/生/年</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continue"/>
            <w:tcBorders>
              <w:top w:val="nil"/>
              <w:left w:val="single" w:color="auto" w:sz="4" w:space="0"/>
              <w:bottom w:val="single" w:color="auto" w:sz="4" w:space="0"/>
              <w:right w:val="single" w:color="auto" w:sz="4" w:space="0"/>
            </w:tcBorders>
            <w:shd w:val="clear" w:color="auto" w:fill="auto"/>
            <w:vAlign w:val="center"/>
          </w:tcP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随班就读学生公用经费补助标准</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=6000元/生/年</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6000元/生/年</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continue"/>
            <w:tcBorders>
              <w:top w:val="nil"/>
              <w:left w:val="single" w:color="auto" w:sz="4" w:space="0"/>
              <w:bottom w:val="single" w:color="auto" w:sz="4" w:space="0"/>
              <w:right w:val="single" w:color="auto" w:sz="4" w:space="0"/>
            </w:tcBorders>
            <w:shd w:val="clear" w:color="auto" w:fill="auto"/>
            <w:vAlign w:val="center"/>
          </w:tcP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特教学生公用经费基准定额</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=6000元/生/年</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6000元/生/年</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continue"/>
            <w:tcBorders>
              <w:top w:val="nil"/>
              <w:left w:val="single" w:color="auto" w:sz="4" w:space="0"/>
              <w:bottom w:val="single" w:color="auto" w:sz="4" w:space="0"/>
              <w:right w:val="single" w:color="auto" w:sz="4" w:space="0"/>
            </w:tcBorders>
            <w:shd w:val="clear" w:color="auto" w:fill="auto"/>
            <w:vAlign w:val="center"/>
          </w:tcP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寄宿生生均公用经费补助标准</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=200元/生/年</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200元/生/年</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效益指标</w:t>
            </w: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经济效益指标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提高学校教学水平，改善办学条件</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显著提高</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694"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生态效益指标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可持续影响指标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保障学校正常运转、完成教育教学活动和其他日常工作任务</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有效保障</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622"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学生满意度</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&gt;=90%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100.00分</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黑体" w:hAnsi="黑体" w:eastAsia="黑体"/>
                <w:sz w:val="32"/>
                <w:szCs w:val="32"/>
              </w:rPr>
              <w:br w:type="page"/>
            </w:r>
            <w:r>
              <w:rPr>
                <w:rFonts w:hint="eastAsia" w:ascii="仿宋_GB2312" w:hAnsi="宋体" w:eastAsia="仿宋_GB2312" w:cs="仿宋_GB2312"/>
                <w:b/>
                <w:color w:val="000000"/>
                <w:kern w:val="0"/>
                <w:sz w:val="24"/>
                <w:lang w:bidi="ar"/>
              </w:rPr>
              <w:t>项  目  支  出  绩  效  自  评  表</w:t>
            </w:r>
          </w:p>
        </w:tc>
      </w:tr>
      <w:tr>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(2022年度)</w:t>
            </w:r>
          </w:p>
        </w:tc>
      </w:tr>
      <w:tr>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学生生活补助</w:t>
            </w:r>
          </w:p>
        </w:tc>
      </w:tr>
      <w:tr>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乌鲁木齐市第九中学</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乌鲁木齐市第九中学</w:t>
            </w:r>
          </w:p>
        </w:tc>
      </w:tr>
      <w:tr>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1.28</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1.28</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10.00分</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1.28</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1.28</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上年结转资金</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jc w:val="center"/>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tblPrEx>
          <w:tblCellMar>
            <w:top w:w="0" w:type="dxa"/>
            <w:left w:w="108" w:type="dxa"/>
            <w:bottom w:w="0" w:type="dxa"/>
            <w:right w:w="108" w:type="dxa"/>
          </w:tblCellMar>
        </w:tblPrEx>
        <w:trPr>
          <w:jc w:val="center"/>
        </w:trPr>
        <w:tc>
          <w:tcPr>
            <w:tcW w:w="7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10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年我校学生生活补助资金1.28万元，主要对家庭经济困难学生进行补助，其中中学生34人，补助标准375元/人。通过项目的实施，缓解困难学生生活，保障学校正常运转、顺利完成教学活动，促进教育公平、提高教育经费使用效益。</w:t>
            </w:r>
          </w:p>
        </w:tc>
        <w:tc>
          <w:tcPr>
            <w:tcW w:w="421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年我校学生生活补助项目共支付1.28万元，用于对34个家庭经济困难学生进行补助，缓解困难学生生活，受益学生满意度达到95%，家长满意度达到95%。通过项目的实施，缓解困难学生生活，保障学校正常运转、顺利完成教学活动，促进教育公平、提高教育经费使用效益。</w:t>
            </w:r>
          </w:p>
        </w:tc>
      </w:tr>
      <w:tr>
        <w:tblPrEx>
          <w:tblCellMar>
            <w:top w:w="0" w:type="dxa"/>
            <w:left w:w="108" w:type="dxa"/>
            <w:bottom w:w="0" w:type="dxa"/>
            <w:right w:w="108" w:type="dxa"/>
          </w:tblCellMar>
        </w:tblPrEx>
        <w:trPr>
          <w:trHeight w:val="312" w:hRule="atLeast"/>
          <w:jc w:val="center"/>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　</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一级指标</w:t>
            </w:r>
          </w:p>
        </w:tc>
        <w:tc>
          <w:tcPr>
            <w:tcW w:w="1465"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tblPrEx>
          <w:tblCellMar>
            <w:top w:w="0" w:type="dxa"/>
            <w:left w:w="108" w:type="dxa"/>
            <w:bottom w:w="0" w:type="dxa"/>
            <w:right w:w="108" w:type="dxa"/>
          </w:tblCellMar>
        </w:tblPrEx>
        <w:trPr>
          <w:trHeight w:val="312" w:hRule="atLeast"/>
          <w:jc w:val="center"/>
        </w:trPr>
        <w:tc>
          <w:tcPr>
            <w:tcW w:w="7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sz w:val="20"/>
              </w:rPr>
              <w:t>年度绩效指标完成情况</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产出指标</w:t>
            </w:r>
          </w:p>
        </w:tc>
        <w:tc>
          <w:tcPr>
            <w:tcW w:w="1465"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数量指标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发放补助人数</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&gt;=34人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34人</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continue"/>
            <w:tcBorders>
              <w:top w:val="nil"/>
              <w:left w:val="single" w:color="auto" w:sz="4" w:space="0"/>
              <w:bottom w:val="single" w:color="auto" w:sz="4" w:space="0"/>
              <w:right w:val="single" w:color="auto" w:sz="4" w:space="0"/>
            </w:tcBorders>
            <w:shd w:val="clear" w:color="auto" w:fill="auto"/>
            <w:vAlign w:val="center"/>
          </w:tcP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发放补助次数</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&gt;=1次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1次</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应享受资助学生覆盖率</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时效指标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项目完成时间</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2022年12月31日</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2022年12月31日</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continue"/>
            <w:tcBorders>
              <w:top w:val="nil"/>
              <w:left w:val="single" w:color="auto" w:sz="4" w:space="0"/>
              <w:bottom w:val="single" w:color="auto" w:sz="4" w:space="0"/>
              <w:right w:val="single" w:color="auto" w:sz="4" w:space="0"/>
            </w:tcBorders>
            <w:shd w:val="clear" w:color="auto" w:fill="auto"/>
            <w:vAlign w:val="center"/>
          </w:tcP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资金发放及时性</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发放补助标准</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&lt;=375元/人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375元/人</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效益指标</w:t>
            </w: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经济效益指标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有效维护学校正常运转</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生态效益指标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可持续影响指标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促进教育公平、提高教育经费使用效益</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长期</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满意度指标</w:t>
            </w:r>
          </w:p>
        </w:tc>
        <w:tc>
          <w:tcPr>
            <w:tcW w:w="1465"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满意度指标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受益学生满意度</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continue"/>
            <w:tcBorders>
              <w:top w:val="nil"/>
              <w:left w:val="single" w:color="auto" w:sz="4" w:space="0"/>
              <w:bottom w:val="single" w:color="auto" w:sz="4" w:space="0"/>
              <w:right w:val="single" w:color="auto" w:sz="4" w:space="0"/>
            </w:tcBorders>
            <w:shd w:val="clear" w:color="auto" w:fill="auto"/>
            <w:vAlign w:val="center"/>
          </w:tcP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家长满意度</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100.00分</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pPr>
        <w:widowControl/>
        <w:jc w:val="left"/>
        <w:rPr>
          <w:rFonts w:ascii="黑体" w:hAnsi="黑体" w:eastAsia="黑体"/>
          <w:sz w:val="32"/>
          <w:szCs w:val="32"/>
        </w:rPr>
      </w:pPr>
      <w:r>
        <w:rPr>
          <w:rFonts w:hint="eastAsia" w:ascii="黑体" w:hAnsi="黑体" w:eastAsia="黑体"/>
          <w:sz w:val="32"/>
          <w:szCs w:val="32"/>
        </w:rPr>
        <w:br w:type="page"/>
      </w:r>
    </w:p>
    <w:tbl>
      <w:tblPr>
        <w:tblStyle w:val="11"/>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(2022年度)</w:t>
            </w:r>
          </w:p>
        </w:tc>
      </w:tr>
      <w:tr>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学生资助补助金</w:t>
            </w:r>
          </w:p>
        </w:tc>
      </w:tr>
      <w:tr>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乌鲁木齐市第九中学</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乌鲁木齐市第九中学</w:t>
            </w:r>
          </w:p>
        </w:tc>
      </w:tr>
      <w:tr>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9.14</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13.28</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9.14</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68.83%</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6.88分</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9.14</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13.28</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9.14</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上年结转资金</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jc w:val="center"/>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tblPrEx>
          <w:tblCellMar>
            <w:top w:w="0" w:type="dxa"/>
            <w:left w:w="108" w:type="dxa"/>
            <w:bottom w:w="0" w:type="dxa"/>
            <w:right w:w="108" w:type="dxa"/>
          </w:tblCellMar>
        </w:tblPrEx>
        <w:trPr>
          <w:jc w:val="center"/>
        </w:trPr>
        <w:tc>
          <w:tcPr>
            <w:tcW w:w="7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10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为减轻家庭经济困难学生的生活负担，帮助学生顺利完成学业。我校按照普高助学金生均标准1000-3000元，为113名高中和113名初中学生提供助学金补助。通过项目的实施，满足家庭经济困难学生基本学习生活需要，实现不让一个学生因家庭经济困难而失学的目标。</w:t>
            </w:r>
          </w:p>
        </w:tc>
        <w:tc>
          <w:tcPr>
            <w:tcW w:w="421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全年发放补助金9.14万元，因疫情原因，下半年未发放助学金补助。通过项目实施，减轻家庭经济困难生的生活补助，帮助学生顺利完成学业。</w:t>
            </w:r>
          </w:p>
        </w:tc>
      </w:tr>
      <w:tr>
        <w:tblPrEx>
          <w:tblCellMar>
            <w:top w:w="0" w:type="dxa"/>
            <w:left w:w="108" w:type="dxa"/>
            <w:bottom w:w="0" w:type="dxa"/>
            <w:right w:w="108" w:type="dxa"/>
          </w:tblCellMar>
        </w:tblPrEx>
        <w:trPr>
          <w:trHeight w:val="312" w:hRule="atLeast"/>
          <w:jc w:val="center"/>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　</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一级指标</w:t>
            </w:r>
          </w:p>
        </w:tc>
        <w:tc>
          <w:tcPr>
            <w:tcW w:w="1465"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tblPrEx>
          <w:tblCellMar>
            <w:top w:w="0" w:type="dxa"/>
            <w:left w:w="108" w:type="dxa"/>
            <w:bottom w:w="0" w:type="dxa"/>
            <w:right w:w="108" w:type="dxa"/>
          </w:tblCellMar>
        </w:tblPrEx>
        <w:trPr>
          <w:trHeight w:val="312" w:hRule="atLeast"/>
          <w:jc w:val="center"/>
        </w:trPr>
        <w:tc>
          <w:tcPr>
            <w:tcW w:w="7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sz w:val="20"/>
              </w:rPr>
              <w:t>年度绩效指标完成情况</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产出指标</w:t>
            </w: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应受助学生人数</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&gt;=226人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138人</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6.11</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因疫情原因，下半年未发放助学金补助。</w:t>
            </w: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符合标准学生覆盖率</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资金发放及时性</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68.83%</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10.32</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因疫情原因，下半年未发放助学金补助。</w:t>
            </w: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生均补助标准</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&lt;=2000元/人/学年</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662.32元/人/学年</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4.97</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因疫情原因，下半年未发放助学金补助，导致标准降低</w:t>
            </w: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效益指标</w:t>
            </w: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经济效益指标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家庭经济困难学生的生活负担</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有效减轻</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因疫情原因，下半年未发放助学金补助。</w:t>
            </w: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生态效益指标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可持续影响指标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促进教育公平</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满意度指标</w:t>
            </w:r>
          </w:p>
        </w:tc>
        <w:tc>
          <w:tcPr>
            <w:tcW w:w="1465"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满意度指标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家长满意度</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continue"/>
            <w:tcBorders>
              <w:top w:val="nil"/>
              <w:left w:val="single" w:color="auto" w:sz="4" w:space="0"/>
              <w:bottom w:val="single" w:color="auto" w:sz="4" w:space="0"/>
              <w:right w:val="single" w:color="auto" w:sz="4" w:space="0"/>
            </w:tcBorders>
            <w:shd w:val="clear" w:color="auto" w:fill="auto"/>
            <w:vAlign w:val="center"/>
          </w:tcP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学生满意度</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100.00分</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pPr>
        <w:widowControl/>
        <w:jc w:val="left"/>
        <w:rPr>
          <w:rFonts w:ascii="黑体" w:hAnsi="黑体" w:eastAsia="黑体"/>
          <w:sz w:val="32"/>
          <w:szCs w:val="32"/>
        </w:rPr>
      </w:pPr>
      <w:r>
        <w:rPr>
          <w:rFonts w:hint="eastAsia" w:ascii="黑体" w:hAnsi="黑体" w:eastAsia="黑体"/>
          <w:sz w:val="32"/>
          <w:szCs w:val="32"/>
        </w:rPr>
        <w:br w:type="page"/>
      </w:r>
    </w:p>
    <w:tbl>
      <w:tblPr>
        <w:tblStyle w:val="11"/>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(2022年度)</w:t>
            </w:r>
          </w:p>
        </w:tc>
      </w:tr>
      <w:tr>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聘用人员经费</w:t>
            </w:r>
          </w:p>
        </w:tc>
      </w:tr>
      <w:tr>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乌鲁木齐市第九中学</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乌鲁木齐市第九中学</w:t>
            </w:r>
          </w:p>
        </w:tc>
      </w:tr>
      <w:tr>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70.78</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68.79</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97.19%</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9.72分</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70.78</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68.79</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上年结转资金</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jc w:val="center"/>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tblPrEx>
          <w:tblCellMar>
            <w:top w:w="0" w:type="dxa"/>
            <w:left w:w="108" w:type="dxa"/>
            <w:bottom w:w="0" w:type="dxa"/>
            <w:right w:w="108" w:type="dxa"/>
          </w:tblCellMar>
        </w:tblPrEx>
        <w:trPr>
          <w:jc w:val="center"/>
        </w:trPr>
        <w:tc>
          <w:tcPr>
            <w:tcW w:w="7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10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为更好保障学校教学的正常运转，我校计划聘用工作人员14人，预算经费70.78万元，人均发放标准4213元/月。通过项目的实施，切实保障聘用人员的合法权益，充分发挥职能作用。</w:t>
            </w:r>
          </w:p>
        </w:tc>
        <w:tc>
          <w:tcPr>
            <w:tcW w:w="421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已完成目标：1、遵从上级部门的工作安排，保质保量的完成上级下达的各项任务。严格把控项目资金使用，使得资金落实到位。2、按时发放项目人员补助，保障项目按计划执行。发放人数13人，共计发放68.79万元，发放次数12次，足额及时拨付资金，及时上报资金的使用情况，保障项目资金按计划执行。3、项目的实施能够保障人员收入，更好地服务群众。受益人员满意度95%。</w:t>
            </w:r>
          </w:p>
        </w:tc>
      </w:tr>
      <w:tr>
        <w:tblPrEx>
          <w:tblCellMar>
            <w:top w:w="0" w:type="dxa"/>
            <w:left w:w="108" w:type="dxa"/>
            <w:bottom w:w="0" w:type="dxa"/>
            <w:right w:w="108" w:type="dxa"/>
          </w:tblCellMar>
        </w:tblPrEx>
        <w:trPr>
          <w:trHeight w:val="312" w:hRule="atLeast"/>
          <w:jc w:val="center"/>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　</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一级指标</w:t>
            </w:r>
          </w:p>
        </w:tc>
        <w:tc>
          <w:tcPr>
            <w:tcW w:w="1465"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tblPrEx>
          <w:tblCellMar>
            <w:top w:w="0" w:type="dxa"/>
            <w:left w:w="108" w:type="dxa"/>
            <w:bottom w:w="0" w:type="dxa"/>
            <w:right w:w="108" w:type="dxa"/>
          </w:tblCellMar>
        </w:tblPrEx>
        <w:trPr>
          <w:trHeight w:val="312" w:hRule="atLeast"/>
          <w:jc w:val="center"/>
        </w:trPr>
        <w:tc>
          <w:tcPr>
            <w:tcW w:w="7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sz w:val="20"/>
              </w:rPr>
              <w:t>年度绩效指标完成情况</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产出指标</w:t>
            </w: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聘用人员人数</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13人</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9.29</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受疫情原因我单位聘用教师人员流动频繁</w:t>
            </w: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人员考核合格率</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时效指标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项目完成时间</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2022年12月31日</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2022年12月31日</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continue"/>
            <w:tcBorders>
              <w:top w:val="nil"/>
              <w:left w:val="single" w:color="auto" w:sz="4" w:space="0"/>
              <w:bottom w:val="single" w:color="auto" w:sz="4" w:space="0"/>
              <w:right w:val="single" w:color="auto" w:sz="4" w:space="0"/>
            </w:tcBorders>
            <w:shd w:val="clear" w:color="auto" w:fill="auto"/>
            <w:vAlign w:val="center"/>
          </w:tcP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资金发放及时性</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97.19%</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9.72</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2022年12月聘用人员社保未拨付。</w:t>
            </w: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人均发放标准</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&lt;=4213元/月</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4409.62元/月</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效益指标</w:t>
            </w: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经济效益指标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保障聘用人员待遇</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有效保障</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生态效益指标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可持续影响指标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经费保障年限</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&gt;=1年</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1年</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受益人员满意度</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100.00分</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pPr>
        <w:widowControl/>
        <w:jc w:val="left"/>
        <w:rPr>
          <w:rFonts w:ascii="黑体" w:hAnsi="黑体" w:eastAsia="黑体"/>
          <w:sz w:val="32"/>
          <w:szCs w:val="32"/>
        </w:rPr>
      </w:pPr>
      <w:r>
        <w:rPr>
          <w:rFonts w:hint="eastAsia" w:ascii="黑体" w:hAnsi="黑体" w:eastAsia="黑体"/>
          <w:sz w:val="32"/>
          <w:szCs w:val="32"/>
        </w:rPr>
        <w:br w:type="page"/>
      </w:r>
    </w:p>
    <w:tbl>
      <w:tblPr>
        <w:tblStyle w:val="11"/>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(2022年度)</w:t>
            </w:r>
          </w:p>
        </w:tc>
      </w:tr>
      <w:tr>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高中免费教科书</w:t>
            </w:r>
          </w:p>
        </w:tc>
      </w:tr>
      <w:tr>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乌鲁木齐市第九中学</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乌鲁木齐市第九中学</w:t>
            </w:r>
          </w:p>
        </w:tc>
      </w:tr>
      <w:tr>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16.31</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0.00分</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16.31</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上年结转资金</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jc w:val="center"/>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tblPrEx>
          <w:tblCellMar>
            <w:top w:w="0" w:type="dxa"/>
            <w:left w:w="108" w:type="dxa"/>
            <w:bottom w:w="0" w:type="dxa"/>
            <w:right w:w="108" w:type="dxa"/>
          </w:tblCellMar>
        </w:tblPrEx>
        <w:trPr>
          <w:jc w:val="center"/>
        </w:trPr>
        <w:tc>
          <w:tcPr>
            <w:tcW w:w="7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10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我校2022年高中免费教科书项目下达资金16.31万元,主要用于征订学生及教师教科书一批。通过项目的实施，保障了学生正常学习生活环境、为教师创造基本教育条件，促进教育公平，提高教育经费使用效益。</w:t>
            </w:r>
          </w:p>
        </w:tc>
        <w:tc>
          <w:tcPr>
            <w:tcW w:w="421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因疫情原因，年末该项资金未支付，资金未完成执行。</w:t>
            </w:r>
          </w:p>
        </w:tc>
      </w:tr>
      <w:tr>
        <w:tblPrEx>
          <w:tblCellMar>
            <w:top w:w="0" w:type="dxa"/>
            <w:left w:w="108" w:type="dxa"/>
            <w:bottom w:w="0" w:type="dxa"/>
            <w:right w:w="108" w:type="dxa"/>
          </w:tblCellMar>
        </w:tblPrEx>
        <w:trPr>
          <w:trHeight w:val="312" w:hRule="atLeast"/>
          <w:jc w:val="center"/>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　</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一级指标</w:t>
            </w:r>
          </w:p>
        </w:tc>
        <w:tc>
          <w:tcPr>
            <w:tcW w:w="1465"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tblPrEx>
          <w:tblCellMar>
            <w:top w:w="0" w:type="dxa"/>
            <w:left w:w="108" w:type="dxa"/>
            <w:bottom w:w="0" w:type="dxa"/>
            <w:right w:w="108" w:type="dxa"/>
          </w:tblCellMar>
        </w:tblPrEx>
        <w:trPr>
          <w:trHeight w:val="312" w:hRule="atLeast"/>
          <w:jc w:val="center"/>
        </w:trPr>
        <w:tc>
          <w:tcPr>
            <w:tcW w:w="7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sz w:val="20"/>
              </w:rPr>
              <w:t>年度绩效指标完成情况</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产出指标</w:t>
            </w: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征订高中免费教科书批次</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=1批</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0批</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因疫情原因，该项目年末未支付，资金未完成。</w:t>
            </w: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质量指标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经费保障率</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因疫情原因，该项目年末未支付，资金未完成。</w:t>
            </w: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continue"/>
            <w:tcBorders>
              <w:top w:val="nil"/>
              <w:left w:val="single" w:color="auto" w:sz="4" w:space="0"/>
              <w:bottom w:val="single" w:color="auto" w:sz="4" w:space="0"/>
              <w:right w:val="single" w:color="auto" w:sz="4" w:space="0"/>
            </w:tcBorders>
            <w:shd w:val="clear" w:color="auto" w:fill="auto"/>
            <w:vAlign w:val="center"/>
          </w:tcP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应享受学生覆盖率</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因疫情原因，该项目年末未支付，资金未完成。</w:t>
            </w: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时效指标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项目完成时间</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2022年12月31日</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2022年12月31日</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因疫情原因，该项目年末未支付，资金未完成。</w:t>
            </w: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continue"/>
            <w:tcBorders>
              <w:top w:val="nil"/>
              <w:left w:val="single" w:color="auto" w:sz="4" w:space="0"/>
              <w:bottom w:val="single" w:color="auto" w:sz="4" w:space="0"/>
              <w:right w:val="single" w:color="auto" w:sz="4" w:space="0"/>
            </w:tcBorders>
            <w:shd w:val="clear" w:color="auto" w:fill="auto"/>
            <w:vAlign w:val="center"/>
          </w:tcP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资金支付及时性</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因疫情原因，该项目年末未支付，资金未完成。</w:t>
            </w: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一次性支付标准</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&lt;=16.31万元</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0万元</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因疫情原因，该项目年末未支付，资金未完成。</w:t>
            </w: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效益指标</w:t>
            </w: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经济效益指标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有效维护学校正常运转</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因疫情原因，该项目年末未支付，资金未完成。</w:t>
            </w: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生态效益指标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可持续影响指标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促进教育公平，提高教育经费使用效益</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长期</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因疫情原因，该项目年末未支付，资金未完成。</w:t>
            </w: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满意度指标</w:t>
            </w:r>
          </w:p>
        </w:tc>
        <w:tc>
          <w:tcPr>
            <w:tcW w:w="1465"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满意度指标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家长满意度</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因疫情原因，该项目年末未支付，资金未完成。</w:t>
            </w: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continue"/>
            <w:tcBorders>
              <w:top w:val="nil"/>
              <w:left w:val="single" w:color="auto" w:sz="4" w:space="0"/>
              <w:bottom w:val="single" w:color="auto" w:sz="4" w:space="0"/>
              <w:right w:val="single" w:color="auto" w:sz="4" w:space="0"/>
            </w:tcBorders>
            <w:shd w:val="clear" w:color="auto" w:fill="auto"/>
            <w:vAlign w:val="center"/>
          </w:tcP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受益学生满意度</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因疫情原因，该项目年末未支付，资金未完成。</w:t>
            </w:r>
          </w:p>
        </w:tc>
      </w:tr>
      <w:tr>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100.00分</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pPr>
        <w:widowControl/>
        <w:jc w:val="left"/>
        <w:rPr>
          <w:rFonts w:ascii="黑体" w:hAnsi="黑体" w:eastAsia="黑体"/>
          <w:sz w:val="32"/>
          <w:szCs w:val="32"/>
        </w:rPr>
      </w:pPr>
      <w:r>
        <w:rPr>
          <w:rFonts w:hint="eastAsia" w:ascii="黑体" w:hAnsi="黑体" w:eastAsia="黑体"/>
          <w:sz w:val="32"/>
          <w:szCs w:val="32"/>
        </w:rPr>
        <w:br w:type="page"/>
      </w:r>
    </w:p>
    <w:tbl>
      <w:tblPr>
        <w:tblStyle w:val="11"/>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(2022年度)</w:t>
            </w:r>
          </w:p>
        </w:tc>
      </w:tr>
      <w:tr>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三区人才计划教师专项工作补助经费</w:t>
            </w:r>
          </w:p>
        </w:tc>
      </w:tr>
      <w:tr>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乌鲁木齐市第九中学</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乌鲁木齐市第九中学</w:t>
            </w:r>
          </w:p>
        </w:tc>
      </w:tr>
      <w:tr>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3.25</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0.65</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2.00分</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3.25</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0.65</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上年结转资金</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776"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jc w:val="center"/>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tblPrEx>
          <w:tblCellMar>
            <w:top w:w="0" w:type="dxa"/>
            <w:left w:w="108" w:type="dxa"/>
            <w:bottom w:w="0" w:type="dxa"/>
            <w:right w:w="108" w:type="dxa"/>
          </w:tblCellMar>
        </w:tblPrEx>
        <w:trPr>
          <w:jc w:val="center"/>
        </w:trPr>
        <w:tc>
          <w:tcPr>
            <w:tcW w:w="7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10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中央下达2021年第二批“三区”人才计划教师专项工作补助经费32450元，主要对我校南疆支教教师1人进行补助，其中：每人每月补助2600元，支教时间10个月，合计26000元：1人一次性补助合计6400元，通过项目长期实施，缓解南疆教育队伍，保障学校正常运转、顺利完成教学活动，提高南疆教育水平。</w:t>
            </w:r>
          </w:p>
        </w:tc>
        <w:tc>
          <w:tcPr>
            <w:tcW w:w="421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支付南疆支教人员2人补助6490元。因疫情原因，下半年未派教师赴和田支教，未发放南疆支教补助，资金未执行完成。</w:t>
            </w:r>
          </w:p>
        </w:tc>
      </w:tr>
      <w:tr>
        <w:tblPrEx>
          <w:tblCellMar>
            <w:top w:w="0" w:type="dxa"/>
            <w:left w:w="108" w:type="dxa"/>
            <w:bottom w:w="0" w:type="dxa"/>
            <w:right w:w="108" w:type="dxa"/>
          </w:tblCellMar>
        </w:tblPrEx>
        <w:trPr>
          <w:trHeight w:val="312" w:hRule="atLeast"/>
          <w:jc w:val="center"/>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　</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一级指标</w:t>
            </w:r>
          </w:p>
        </w:tc>
        <w:tc>
          <w:tcPr>
            <w:tcW w:w="1465"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tblPrEx>
          <w:tblCellMar>
            <w:top w:w="0" w:type="dxa"/>
            <w:left w:w="108" w:type="dxa"/>
            <w:bottom w:w="0" w:type="dxa"/>
            <w:right w:w="108" w:type="dxa"/>
          </w:tblCellMar>
        </w:tblPrEx>
        <w:trPr>
          <w:trHeight w:val="312" w:hRule="atLeast"/>
          <w:jc w:val="center"/>
        </w:trPr>
        <w:tc>
          <w:tcPr>
            <w:tcW w:w="7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sz w:val="20"/>
              </w:rPr>
              <w:t>年度绩效指标完成情况</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产出指标</w:t>
            </w:r>
          </w:p>
        </w:tc>
        <w:tc>
          <w:tcPr>
            <w:tcW w:w="1465"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数量指标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发放补助人数</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&gt;=1人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2人</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continue"/>
            <w:tcBorders>
              <w:top w:val="nil"/>
              <w:left w:val="single" w:color="auto" w:sz="4" w:space="0"/>
              <w:bottom w:val="single" w:color="auto" w:sz="4" w:space="0"/>
              <w:right w:val="single" w:color="auto" w:sz="4" w:space="0"/>
            </w:tcBorders>
            <w:shd w:val="clear" w:color="auto" w:fill="auto"/>
            <w:vAlign w:val="center"/>
          </w:tcP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支教时长</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=10月</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1月</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因疫情原因，下半年未派支教教师。</w:t>
            </w: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经费保障率</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因疫情原因，下半年未派教师支教未发放补助。</w:t>
            </w: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时效指标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项目完成时间</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2022年12月31日</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2022年12月31日</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因疫情原因，下半年未派支教教师。</w:t>
            </w: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continue"/>
            <w:tcBorders>
              <w:top w:val="nil"/>
              <w:left w:val="single" w:color="auto" w:sz="4" w:space="0"/>
              <w:bottom w:val="single" w:color="auto" w:sz="4" w:space="0"/>
              <w:right w:val="single" w:color="auto" w:sz="4" w:space="0"/>
            </w:tcBorders>
            <w:shd w:val="clear" w:color="auto" w:fill="auto"/>
            <w:vAlign w:val="center"/>
          </w:tcP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资金发放及时性</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因疫情原因，下半年未派教师支教未发放补助。</w:t>
            </w: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成本指标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补助标准</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&lt;=2600元/人/月</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2600元/人/月</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vMerge w:val="continue"/>
            <w:tcBorders>
              <w:top w:val="nil"/>
              <w:left w:val="single" w:color="auto" w:sz="4" w:space="0"/>
              <w:bottom w:val="single" w:color="auto" w:sz="4" w:space="0"/>
              <w:right w:val="single" w:color="auto" w:sz="4" w:space="0"/>
            </w:tcBorders>
            <w:shd w:val="clear" w:color="auto" w:fill="auto"/>
            <w:vAlign w:val="center"/>
          </w:tcP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一次性补助</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=6400元/人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645元/人</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0.61</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因疫情原因，下半年未派教师支教未发放补助。</w:t>
            </w: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sz w:val="20"/>
              </w:rPr>
              <w:t>效益指标</w:t>
            </w: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经济效益指标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提高南疆教育水平</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生态效益指标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可持续影响指标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经费保障期限</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=1年</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1年</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教师满意度</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100.00分</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pPr>
        <w:widowControl/>
        <w:jc w:val="left"/>
        <w:rPr>
          <w:rFonts w:ascii="黑体" w:hAnsi="黑体" w:eastAsia="黑体"/>
          <w:sz w:val="32"/>
          <w:szCs w:val="32"/>
        </w:rPr>
      </w:pPr>
      <w:r>
        <w:rPr>
          <w:rFonts w:ascii="黑体" w:hAnsi="黑体" w:eastAsia="黑体"/>
          <w:sz w:val="32"/>
          <w:szCs w:val="32"/>
        </w:rPr>
        <w:br w:type="page"/>
      </w:r>
    </w:p>
    <w:p>
      <w:pPr>
        <w:ind w:firstLine="640" w:firstLineChars="200"/>
        <w:jc w:val="center"/>
        <w:outlineLvl w:val="0"/>
        <w:rPr>
          <w:rFonts w:ascii="黑体" w:hAnsi="黑体" w:eastAsia="黑体"/>
          <w:sz w:val="32"/>
          <w:szCs w:val="32"/>
        </w:rPr>
      </w:pPr>
      <w:r>
        <w:rPr>
          <w:rFonts w:hint="eastAsia" w:ascii="黑体" w:hAnsi="黑体" w:eastAsia="黑体"/>
          <w:sz w:val="32"/>
          <w:szCs w:val="32"/>
        </w:rPr>
        <w:t>第三部分 专业名词解释</w:t>
      </w:r>
      <w:bookmarkEnd w:id="30"/>
      <w:bookmarkEnd w:id="31"/>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年初结转和结余：指以前年度支出预算因客观条件变化未执行完毕、结转到本年度按有关规定继续使用的资金，既包括财政拨款结转和结余，也包括事业收入、经营收入、其他收入的结转和结余。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三公”经费：指用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ind w:firstLine="640" w:firstLineChars="200"/>
        <w:rPr>
          <w:rFonts w:ascii="仿宋_GB2312" w:eastAsia="仿宋_GB2312"/>
          <w:sz w:val="32"/>
          <w:szCs w:val="32"/>
        </w:rPr>
      </w:pPr>
      <w:r>
        <w:rPr>
          <w:rFonts w:hint="eastAsia" w:ascii="仿宋_GB2312" w:eastAsia="仿宋_GB2312"/>
          <w:sz w:val="32"/>
          <w:szCs w:val="32"/>
        </w:rPr>
        <w:t>机关运行经费：行政单位和参照公务员法管理的事业单位财政拨款基本支出中的公用经费支出。</w:t>
      </w:r>
    </w:p>
    <w:p>
      <w:pPr>
        <w:ind w:firstLine="640" w:firstLineChars="200"/>
        <w:jc w:val="center"/>
        <w:outlineLvl w:val="0"/>
        <w:rPr>
          <w:rFonts w:ascii="黑体" w:hAnsi="黑体" w:eastAsia="黑体"/>
          <w:sz w:val="32"/>
          <w:szCs w:val="32"/>
        </w:rPr>
      </w:pPr>
      <w:bookmarkStart w:id="32" w:name="_Toc22784"/>
      <w:bookmarkStart w:id="33" w:name="_Toc28903"/>
      <w:r>
        <w:rPr>
          <w:rFonts w:hint="eastAsia" w:ascii="黑体" w:hAnsi="黑体" w:eastAsia="黑体"/>
          <w:sz w:val="32"/>
          <w:szCs w:val="32"/>
        </w:rPr>
        <w:br w:type="page"/>
      </w:r>
      <w:r>
        <w:rPr>
          <w:rFonts w:hint="eastAsia" w:ascii="黑体" w:hAnsi="黑体" w:eastAsia="黑体"/>
          <w:sz w:val="32"/>
          <w:szCs w:val="32"/>
        </w:rPr>
        <w:t>第四部分 部门决算报表（见附表）</w:t>
      </w:r>
      <w:bookmarkEnd w:id="32"/>
      <w:bookmarkEnd w:id="33"/>
    </w:p>
    <w:p>
      <w:pPr>
        <w:ind w:firstLine="640" w:firstLineChars="200"/>
        <w:outlineLvl w:val="1"/>
        <w:rPr>
          <w:rFonts w:ascii="黑体" w:hAnsi="黑体" w:eastAsia="黑体" w:cs="宋体"/>
          <w:bCs/>
          <w:kern w:val="0"/>
          <w:sz w:val="32"/>
          <w:szCs w:val="32"/>
        </w:rPr>
      </w:pPr>
      <w:bookmarkStart w:id="34" w:name="_Toc2183"/>
      <w:bookmarkStart w:id="35" w:name="_Toc6062"/>
      <w:r>
        <w:rPr>
          <w:rFonts w:hint="eastAsia" w:ascii="黑体" w:hAnsi="黑体" w:eastAsia="黑体" w:cs="宋体"/>
          <w:bCs/>
          <w:kern w:val="0"/>
          <w:sz w:val="32"/>
          <w:szCs w:val="32"/>
        </w:rPr>
        <w:t>一、《收入支出决算总表》</w:t>
      </w:r>
      <w:bookmarkEnd w:id="34"/>
      <w:bookmarkEnd w:id="35"/>
    </w:p>
    <w:p>
      <w:pPr>
        <w:ind w:firstLine="640" w:firstLineChars="200"/>
        <w:outlineLvl w:val="1"/>
        <w:rPr>
          <w:rFonts w:ascii="黑体" w:hAnsi="黑体" w:eastAsia="黑体" w:cs="宋体"/>
          <w:bCs/>
          <w:kern w:val="0"/>
          <w:sz w:val="32"/>
          <w:szCs w:val="32"/>
        </w:rPr>
      </w:pPr>
      <w:bookmarkStart w:id="36" w:name="_Toc30364"/>
      <w:bookmarkStart w:id="37" w:name="_Toc24532"/>
      <w:r>
        <w:rPr>
          <w:rFonts w:hint="eastAsia" w:ascii="黑体" w:hAnsi="黑体" w:eastAsia="黑体" w:cs="宋体"/>
          <w:bCs/>
          <w:kern w:val="0"/>
          <w:sz w:val="32"/>
          <w:szCs w:val="32"/>
        </w:rPr>
        <w:t>二、《收入决算表》</w:t>
      </w:r>
      <w:bookmarkEnd w:id="36"/>
      <w:bookmarkEnd w:id="37"/>
    </w:p>
    <w:p>
      <w:pPr>
        <w:ind w:firstLine="640" w:firstLineChars="200"/>
        <w:outlineLvl w:val="1"/>
        <w:rPr>
          <w:rFonts w:ascii="黑体" w:hAnsi="黑体" w:eastAsia="黑体" w:cs="宋体"/>
          <w:bCs/>
          <w:kern w:val="0"/>
          <w:sz w:val="32"/>
          <w:szCs w:val="32"/>
        </w:rPr>
      </w:pPr>
      <w:bookmarkStart w:id="38" w:name="_Toc32434"/>
      <w:bookmarkStart w:id="39" w:name="_Toc21304"/>
      <w:r>
        <w:rPr>
          <w:rFonts w:hint="eastAsia" w:ascii="黑体" w:hAnsi="黑体" w:eastAsia="黑体" w:cs="宋体"/>
          <w:bCs/>
          <w:kern w:val="0"/>
          <w:sz w:val="32"/>
          <w:szCs w:val="32"/>
        </w:rPr>
        <w:t>三、《支出决算表》</w:t>
      </w:r>
      <w:bookmarkEnd w:id="38"/>
      <w:bookmarkEnd w:id="39"/>
    </w:p>
    <w:p>
      <w:pPr>
        <w:ind w:firstLine="640" w:firstLineChars="200"/>
        <w:outlineLvl w:val="1"/>
        <w:rPr>
          <w:rFonts w:ascii="黑体" w:hAnsi="黑体" w:eastAsia="黑体" w:cs="宋体"/>
          <w:bCs/>
          <w:kern w:val="0"/>
          <w:sz w:val="32"/>
          <w:szCs w:val="32"/>
        </w:rPr>
      </w:pPr>
      <w:bookmarkStart w:id="40" w:name="_Toc14238"/>
      <w:bookmarkStart w:id="41" w:name="_Toc28786"/>
      <w:r>
        <w:rPr>
          <w:rFonts w:hint="eastAsia" w:ascii="黑体" w:hAnsi="黑体" w:eastAsia="黑体" w:cs="宋体"/>
          <w:bCs/>
          <w:kern w:val="0"/>
          <w:sz w:val="32"/>
          <w:szCs w:val="32"/>
        </w:rPr>
        <w:t>四、《财政拨款收入支出决算总表》</w:t>
      </w:r>
      <w:bookmarkEnd w:id="40"/>
      <w:bookmarkEnd w:id="41"/>
    </w:p>
    <w:p>
      <w:pPr>
        <w:ind w:firstLine="640" w:firstLineChars="200"/>
        <w:outlineLvl w:val="1"/>
        <w:rPr>
          <w:rFonts w:ascii="黑体" w:hAnsi="黑体" w:eastAsia="黑体" w:cs="宋体"/>
          <w:bCs/>
          <w:kern w:val="0"/>
          <w:sz w:val="32"/>
          <w:szCs w:val="32"/>
        </w:rPr>
      </w:pPr>
      <w:bookmarkStart w:id="42" w:name="_Toc14869"/>
      <w:bookmarkStart w:id="43" w:name="_Toc10347"/>
      <w:r>
        <w:rPr>
          <w:rFonts w:hint="eastAsia" w:ascii="黑体" w:hAnsi="黑体" w:eastAsia="黑体" w:cs="宋体"/>
          <w:bCs/>
          <w:kern w:val="0"/>
          <w:sz w:val="32"/>
          <w:szCs w:val="32"/>
        </w:rPr>
        <w:t>五、《一般公共预算财政拨款支出决算表》</w:t>
      </w:r>
      <w:bookmarkEnd w:id="42"/>
      <w:bookmarkEnd w:id="43"/>
    </w:p>
    <w:p>
      <w:pPr>
        <w:ind w:firstLine="640" w:firstLineChars="200"/>
        <w:outlineLvl w:val="1"/>
        <w:rPr>
          <w:rFonts w:ascii="黑体" w:hAnsi="黑体" w:eastAsia="黑体" w:cs="宋体"/>
          <w:bCs/>
          <w:kern w:val="0"/>
          <w:sz w:val="32"/>
          <w:szCs w:val="32"/>
        </w:rPr>
      </w:pPr>
      <w:bookmarkStart w:id="44" w:name="_Toc8884"/>
      <w:bookmarkStart w:id="45" w:name="_Toc5626"/>
      <w:r>
        <w:rPr>
          <w:rFonts w:hint="eastAsia" w:ascii="黑体" w:hAnsi="黑体" w:eastAsia="黑体" w:cs="宋体"/>
          <w:bCs/>
          <w:kern w:val="0"/>
          <w:sz w:val="32"/>
          <w:szCs w:val="32"/>
        </w:rPr>
        <w:t>六、《一般公共预算财政拨款基本支出决算表》</w:t>
      </w:r>
      <w:bookmarkEnd w:id="44"/>
      <w:bookmarkEnd w:id="45"/>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七、</w:t>
      </w:r>
      <w:bookmarkStart w:id="46" w:name="_Toc32663"/>
      <w:bookmarkStart w:id="47" w:name="_Toc29106"/>
      <w:r>
        <w:rPr>
          <w:rFonts w:hint="eastAsia" w:ascii="黑体" w:hAnsi="黑体" w:eastAsia="黑体" w:cs="宋体"/>
          <w:bCs/>
          <w:kern w:val="0"/>
          <w:sz w:val="32"/>
          <w:szCs w:val="32"/>
        </w:rPr>
        <w:t>《财政拨款“三公”经费支出决算表》</w:t>
      </w:r>
      <w:bookmarkEnd w:id="46"/>
      <w:bookmarkEnd w:id="47"/>
    </w:p>
    <w:p>
      <w:pPr>
        <w:ind w:firstLine="640" w:firstLineChars="200"/>
        <w:outlineLvl w:val="1"/>
        <w:rPr>
          <w:rFonts w:ascii="黑体" w:hAnsi="黑体" w:eastAsia="黑体" w:cs="宋体"/>
          <w:bCs/>
          <w:kern w:val="0"/>
          <w:sz w:val="32"/>
          <w:szCs w:val="32"/>
        </w:rPr>
      </w:pPr>
      <w:bookmarkStart w:id="48" w:name="_Toc7643"/>
      <w:bookmarkStart w:id="49" w:name="_Toc5453"/>
      <w:r>
        <w:rPr>
          <w:rFonts w:hint="eastAsia" w:ascii="黑体" w:hAnsi="黑体" w:eastAsia="黑体" w:cs="宋体"/>
          <w:bCs/>
          <w:kern w:val="0"/>
          <w:sz w:val="32"/>
          <w:szCs w:val="32"/>
        </w:rPr>
        <w:t>八、《政府性基金预算财政拨款收入支出决算表》</w:t>
      </w:r>
      <w:bookmarkEnd w:id="48"/>
      <w:bookmarkEnd w:id="49"/>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九、《国有资本经营预算财政拨款收入支出决算表》</w:t>
      </w:r>
    </w:p>
    <w:p>
      <w:pPr>
        <w:ind w:firstLine="640" w:firstLineChars="200"/>
        <w:outlineLvl w:val="1"/>
        <w:rPr>
          <w:rFonts w:ascii="黑体" w:hAnsi="黑体" w:eastAsia="黑体" w:cs="宋体"/>
          <w:bCs/>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bidi="ug-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NDdlNDlhZGU5ZmQ3N2VlZjBjYzQxYzE2NWRiMzMifQ=="/>
  </w:docVars>
  <w:rsids>
    <w:rsidRoot w:val="00312C27"/>
    <w:rsid w:val="00012F23"/>
    <w:rsid w:val="00021E76"/>
    <w:rsid w:val="000229DC"/>
    <w:rsid w:val="0002765D"/>
    <w:rsid w:val="0003297B"/>
    <w:rsid w:val="0005626F"/>
    <w:rsid w:val="00090520"/>
    <w:rsid w:val="000A0B31"/>
    <w:rsid w:val="000E7B17"/>
    <w:rsid w:val="00135BB7"/>
    <w:rsid w:val="0016194B"/>
    <w:rsid w:val="001762A3"/>
    <w:rsid w:val="001911AD"/>
    <w:rsid w:val="001C3354"/>
    <w:rsid w:val="00215836"/>
    <w:rsid w:val="00221441"/>
    <w:rsid w:val="00224B57"/>
    <w:rsid w:val="00240AA1"/>
    <w:rsid w:val="00271C68"/>
    <w:rsid w:val="00294495"/>
    <w:rsid w:val="0029483B"/>
    <w:rsid w:val="002A2698"/>
    <w:rsid w:val="002C7581"/>
    <w:rsid w:val="002D1584"/>
    <w:rsid w:val="00312C27"/>
    <w:rsid w:val="00366326"/>
    <w:rsid w:val="003A21C7"/>
    <w:rsid w:val="003B1B1F"/>
    <w:rsid w:val="003C2E0F"/>
    <w:rsid w:val="003F1325"/>
    <w:rsid w:val="003F3219"/>
    <w:rsid w:val="00436039"/>
    <w:rsid w:val="00484954"/>
    <w:rsid w:val="00492BB9"/>
    <w:rsid w:val="004C4A14"/>
    <w:rsid w:val="004D41E0"/>
    <w:rsid w:val="00517943"/>
    <w:rsid w:val="00531F92"/>
    <w:rsid w:val="00556D35"/>
    <w:rsid w:val="00561710"/>
    <w:rsid w:val="00571ACE"/>
    <w:rsid w:val="00572CBD"/>
    <w:rsid w:val="005A07B6"/>
    <w:rsid w:val="005A161C"/>
    <w:rsid w:val="005B643B"/>
    <w:rsid w:val="005D0AD9"/>
    <w:rsid w:val="005D1C2D"/>
    <w:rsid w:val="005E3B4A"/>
    <w:rsid w:val="0060159A"/>
    <w:rsid w:val="00656E06"/>
    <w:rsid w:val="00665BE8"/>
    <w:rsid w:val="006B52D5"/>
    <w:rsid w:val="006C27D5"/>
    <w:rsid w:val="006C2D78"/>
    <w:rsid w:val="006D1EE8"/>
    <w:rsid w:val="006E797E"/>
    <w:rsid w:val="006F4050"/>
    <w:rsid w:val="006F66CC"/>
    <w:rsid w:val="00752DF5"/>
    <w:rsid w:val="00753B65"/>
    <w:rsid w:val="007649BA"/>
    <w:rsid w:val="007A247A"/>
    <w:rsid w:val="007A31DF"/>
    <w:rsid w:val="007B559C"/>
    <w:rsid w:val="007D31C5"/>
    <w:rsid w:val="007F2258"/>
    <w:rsid w:val="0081064F"/>
    <w:rsid w:val="0084474D"/>
    <w:rsid w:val="0089722A"/>
    <w:rsid w:val="008A0B2C"/>
    <w:rsid w:val="008A44AF"/>
    <w:rsid w:val="008B33C8"/>
    <w:rsid w:val="00926C84"/>
    <w:rsid w:val="00927CCC"/>
    <w:rsid w:val="00955F5A"/>
    <w:rsid w:val="00986787"/>
    <w:rsid w:val="00A22AE4"/>
    <w:rsid w:val="00A3556A"/>
    <w:rsid w:val="00A87103"/>
    <w:rsid w:val="00B33BF0"/>
    <w:rsid w:val="00B4517D"/>
    <w:rsid w:val="00B92C80"/>
    <w:rsid w:val="00BA3B30"/>
    <w:rsid w:val="00BD5200"/>
    <w:rsid w:val="00BE4763"/>
    <w:rsid w:val="00BF7AA6"/>
    <w:rsid w:val="00C0408D"/>
    <w:rsid w:val="00C65103"/>
    <w:rsid w:val="00C72285"/>
    <w:rsid w:val="00C77B7E"/>
    <w:rsid w:val="00C90C12"/>
    <w:rsid w:val="00CA6634"/>
    <w:rsid w:val="00CB036E"/>
    <w:rsid w:val="00CD3225"/>
    <w:rsid w:val="00CF7E34"/>
    <w:rsid w:val="00D020FB"/>
    <w:rsid w:val="00D41FF8"/>
    <w:rsid w:val="00D6267B"/>
    <w:rsid w:val="00D76208"/>
    <w:rsid w:val="00E04D53"/>
    <w:rsid w:val="00E2268A"/>
    <w:rsid w:val="00E25E17"/>
    <w:rsid w:val="00E3623A"/>
    <w:rsid w:val="00E446E7"/>
    <w:rsid w:val="00E45222"/>
    <w:rsid w:val="00EB34D7"/>
    <w:rsid w:val="00EC60C6"/>
    <w:rsid w:val="00EE4EA5"/>
    <w:rsid w:val="00F064AD"/>
    <w:rsid w:val="00F20986"/>
    <w:rsid w:val="00F20EB6"/>
    <w:rsid w:val="00F26856"/>
    <w:rsid w:val="00F30DDE"/>
    <w:rsid w:val="00F66B7F"/>
    <w:rsid w:val="00F8314A"/>
    <w:rsid w:val="034D4FEF"/>
    <w:rsid w:val="043E5B56"/>
    <w:rsid w:val="06792773"/>
    <w:rsid w:val="07DF0965"/>
    <w:rsid w:val="0A7B4867"/>
    <w:rsid w:val="0AE83DE6"/>
    <w:rsid w:val="0B8C3ECC"/>
    <w:rsid w:val="0BBA0A81"/>
    <w:rsid w:val="0C7227A7"/>
    <w:rsid w:val="0F3317C1"/>
    <w:rsid w:val="12386E6F"/>
    <w:rsid w:val="14155180"/>
    <w:rsid w:val="15F06E99"/>
    <w:rsid w:val="1C7A04C1"/>
    <w:rsid w:val="1DAF458D"/>
    <w:rsid w:val="20DD6197"/>
    <w:rsid w:val="21A91B81"/>
    <w:rsid w:val="222A65E3"/>
    <w:rsid w:val="23BC04D2"/>
    <w:rsid w:val="23FB0802"/>
    <w:rsid w:val="265640D9"/>
    <w:rsid w:val="276036B0"/>
    <w:rsid w:val="277F0ACA"/>
    <w:rsid w:val="27CF2642"/>
    <w:rsid w:val="2A053397"/>
    <w:rsid w:val="2D1136DF"/>
    <w:rsid w:val="2DD47676"/>
    <w:rsid w:val="2E743C6A"/>
    <w:rsid w:val="2F916B46"/>
    <w:rsid w:val="2FD27414"/>
    <w:rsid w:val="2FD45ADE"/>
    <w:rsid w:val="31C63837"/>
    <w:rsid w:val="35FB19DD"/>
    <w:rsid w:val="3914510A"/>
    <w:rsid w:val="3B12207E"/>
    <w:rsid w:val="3B3C07D5"/>
    <w:rsid w:val="3D2A665C"/>
    <w:rsid w:val="3D5275AC"/>
    <w:rsid w:val="40834692"/>
    <w:rsid w:val="41A84A67"/>
    <w:rsid w:val="442D313A"/>
    <w:rsid w:val="448437A4"/>
    <w:rsid w:val="44F4368F"/>
    <w:rsid w:val="454126C2"/>
    <w:rsid w:val="45E16709"/>
    <w:rsid w:val="46901EEE"/>
    <w:rsid w:val="469C74D2"/>
    <w:rsid w:val="476C05E4"/>
    <w:rsid w:val="47A53BB1"/>
    <w:rsid w:val="49B933AA"/>
    <w:rsid w:val="4A6B0F8B"/>
    <w:rsid w:val="4B4C0111"/>
    <w:rsid w:val="50DB5F45"/>
    <w:rsid w:val="52F92565"/>
    <w:rsid w:val="55CE6BE9"/>
    <w:rsid w:val="57E43B01"/>
    <w:rsid w:val="583059FA"/>
    <w:rsid w:val="5ABB586A"/>
    <w:rsid w:val="5FA17648"/>
    <w:rsid w:val="61A46A97"/>
    <w:rsid w:val="62DD7D21"/>
    <w:rsid w:val="65D97752"/>
    <w:rsid w:val="68DB0208"/>
    <w:rsid w:val="69AD798C"/>
    <w:rsid w:val="6B68175F"/>
    <w:rsid w:val="6E0F7A08"/>
    <w:rsid w:val="71473612"/>
    <w:rsid w:val="718F7F65"/>
    <w:rsid w:val="73F7554E"/>
    <w:rsid w:val="73FB6630"/>
    <w:rsid w:val="74E76DCD"/>
    <w:rsid w:val="76954629"/>
    <w:rsid w:val="77ED6F4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nhideWhenUsed/>
    <w:qFormat/>
    <w:uiPriority w:val="99"/>
    <w:pPr>
      <w:spacing w:beforeLines="0" w:after="120" w:afterLines="0"/>
      <w:ind w:left="420" w:leftChars="200"/>
    </w:pPr>
    <w:rPr>
      <w:rFonts w:hint="eastAsia"/>
      <w:sz w:val="21"/>
      <w:szCs w:val="24"/>
    </w:rPr>
  </w:style>
  <w:style w:type="paragraph" w:styleId="4">
    <w:name w:val="toc 3"/>
    <w:basedOn w:val="1"/>
    <w:next w:val="1"/>
    <w:qFormat/>
    <w:uiPriority w:val="0"/>
    <w:pPr>
      <w:ind w:left="840" w:leftChars="400"/>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Body Text First Indent 2"/>
    <w:basedOn w:val="3"/>
    <w:unhideWhenUsed/>
    <w:qFormat/>
    <w:uiPriority w:val="99"/>
    <w:pPr>
      <w:spacing w:beforeLines="0" w:afterLines="0"/>
      <w:ind w:firstLine="420" w:firstLineChars="200"/>
    </w:pPr>
    <w:rPr>
      <w:rFonts w:hint="eastAsia"/>
      <w:sz w:val="21"/>
      <w:szCs w:val="24"/>
    </w:rPr>
  </w:style>
  <w:style w:type="character" w:styleId="13">
    <w:name w:val="annotation reference"/>
    <w:basedOn w:val="12"/>
    <w:qFormat/>
    <w:uiPriority w:val="0"/>
    <w:rPr>
      <w:sz w:val="21"/>
      <w:szCs w:val="21"/>
    </w:rPr>
  </w:style>
  <w:style w:type="paragraph" w:customStyle="1" w:styleId="14">
    <w:name w:val="WPSOffice手动目录 3"/>
    <w:qFormat/>
    <w:uiPriority w:val="0"/>
    <w:pPr>
      <w:ind w:left="400" w:leftChars="400"/>
    </w:pPr>
    <w:rPr>
      <w:rFonts w:ascii="Times New Roman" w:hAnsi="Times New Roman" w:eastAsia="宋体" w:cs="Times New Roman"/>
      <w:lang w:val="en-US" w:eastAsia="zh-CN" w:bidi="ug-CN"/>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ug-CN"/>
    </w:rPr>
  </w:style>
  <w:style w:type="paragraph" w:customStyle="1" w:styleId="16">
    <w:name w:val="WPSOffice手动目录 1"/>
    <w:qFormat/>
    <w:uiPriority w:val="0"/>
    <w:rPr>
      <w:rFonts w:ascii="Times New Roman" w:hAnsi="Times New Roman" w:eastAsia="宋体" w:cs="Times New Roman"/>
      <w:lang w:val="en-US" w:eastAsia="zh-CN" w:bidi="ug-CN"/>
    </w:rPr>
  </w:style>
  <w:style w:type="character" w:customStyle="1" w:styleId="17">
    <w:name w:val="批注框文本 字符"/>
    <w:basedOn w:val="12"/>
    <w:link w:val="5"/>
    <w:qFormat/>
    <w:uiPriority w:val="0"/>
    <w:rPr>
      <w:kern w:val="2"/>
      <w:sz w:val="18"/>
      <w:szCs w:val="18"/>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07355D-8A2E-46FF-ACBA-83C875E28BC4}">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29</Pages>
  <Words>1992</Words>
  <Characters>11359</Characters>
  <Lines>94</Lines>
  <Paragraphs>26</Paragraphs>
  <TotalTime>1</TotalTime>
  <ScaleCrop>false</ScaleCrop>
  <LinksUpToDate>false</LinksUpToDate>
  <CharactersWithSpaces>13325</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lenovo</cp:lastModifiedBy>
  <dcterms:modified xsi:type="dcterms:W3CDTF">2023-12-28T03:29:45Z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4B946B6FD0CF46D3BB4975E16217EE43_13</vt:lpwstr>
  </property>
</Properties>
</file>