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adjustRightInd w:val="0"/>
        <w:spacing w:before="240" w:after="240"/>
        <w:jc w:val="center"/>
        <w:rPr>
          <w:rFonts w:ascii="Times New Roman"/>
          <w:kern w:val="36"/>
          <w:sz w:val="40"/>
          <w:szCs w:val="40"/>
          <w:highlight w:val="none"/>
          <w:lang w:val="zh-CN"/>
        </w:rPr>
      </w:pPr>
    </w:p>
    <w:p>
      <w:pPr>
        <w:shd w:val="clear" w:color="auto" w:fill="FFFFFF"/>
        <w:autoSpaceDE w:val="0"/>
        <w:autoSpaceDN w:val="0"/>
        <w:adjustRightInd w:val="0"/>
        <w:spacing w:before="240" w:after="240"/>
        <w:jc w:val="center"/>
        <w:rPr>
          <w:rFonts w:ascii="Times New Roman"/>
          <w:kern w:val="36"/>
          <w:sz w:val="40"/>
          <w:szCs w:val="40"/>
          <w:highlight w:val="none"/>
          <w:lang w:val="zh-CN"/>
        </w:rPr>
      </w:pPr>
    </w:p>
    <w:p>
      <w:pPr>
        <w:jc w:val="center"/>
        <w:rPr>
          <w:rFonts w:ascii="方正小标宋_GBK" w:hAnsi="Times New Roman" w:eastAsia="方正小标宋_GBK" w:cs="方正小标宋_GBK"/>
          <w:sz w:val="44"/>
          <w:szCs w:val="44"/>
          <w:highlight w:val="none"/>
        </w:rPr>
      </w:pPr>
      <w:r>
        <w:rPr>
          <w:rFonts w:hint="eastAsia" w:ascii="方正小标宋_GBK" w:hAnsi="Times New Roman" w:eastAsia="方正小标宋_GBK" w:cs="方正小标宋_GBK"/>
          <w:sz w:val="44"/>
          <w:szCs w:val="44"/>
          <w:highlight w:val="none"/>
        </w:rPr>
        <w:t>乌鲁木齐高新技术产业开发区（乌鲁木齐市新市区）</w:t>
      </w:r>
      <w:r>
        <w:rPr>
          <w:rFonts w:hint="eastAsia" w:ascii="方正小标宋_GBK" w:hAnsi="方正小标宋_GBK" w:eastAsia="方正小标宋_GBK"/>
          <w:sz w:val="44"/>
          <w:szCs w:val="24"/>
          <w:highlight w:val="none"/>
        </w:rPr>
        <w:t>正扬路片区管理委员会</w:t>
      </w:r>
    </w:p>
    <w:p>
      <w:pPr>
        <w:autoSpaceDE w:val="0"/>
        <w:autoSpaceDN w:val="0"/>
        <w:adjustRightInd w:val="0"/>
        <w:jc w:val="center"/>
        <w:rPr>
          <w:rFonts w:ascii="Times New Roman" w:hAnsi="Times New Roman" w:eastAsia="方正小标宋_GBK"/>
          <w:kern w:val="36"/>
          <w:sz w:val="40"/>
          <w:szCs w:val="40"/>
          <w:highlight w:val="none"/>
          <w:lang w:val="zh-CN"/>
        </w:rPr>
      </w:pPr>
      <w:r>
        <w:rPr>
          <w:rFonts w:ascii="方正小标宋_GBK" w:hAnsi="Times New Roman" w:eastAsia="方正小标宋_GBK" w:cs="方正小标宋_GBK"/>
          <w:sz w:val="44"/>
          <w:szCs w:val="44"/>
          <w:highlight w:val="none"/>
        </w:rPr>
        <w:t>2021</w:t>
      </w:r>
      <w:r>
        <w:rPr>
          <w:rFonts w:hint="eastAsia" w:ascii="方正小标宋_GBK" w:hAnsi="Times New Roman" w:eastAsia="方正小标宋_GBK" w:cs="方正小标宋_GBK"/>
          <w:sz w:val="44"/>
          <w:szCs w:val="44"/>
          <w:highlight w:val="none"/>
        </w:rPr>
        <w:t>年度部门决算公开说明</w:t>
      </w:r>
    </w:p>
    <w:p>
      <w:pPr>
        <w:shd w:val="clear" w:color="auto" w:fill="FFFFFF"/>
        <w:autoSpaceDE w:val="0"/>
        <w:autoSpaceDN w:val="0"/>
        <w:adjustRightInd w:val="0"/>
        <w:spacing w:before="240" w:after="240"/>
        <w:jc w:val="center"/>
        <w:rPr>
          <w:rFonts w:ascii="Times New Roman" w:hAnsi="Times New Roman"/>
          <w:kern w:val="36"/>
          <w:sz w:val="40"/>
          <w:szCs w:val="40"/>
          <w:highlight w:val="none"/>
          <w:lang w:val="zh-CN"/>
        </w:rPr>
      </w:pPr>
    </w:p>
    <w:p>
      <w:pPr>
        <w:autoSpaceDE w:val="0"/>
        <w:autoSpaceDN w:val="0"/>
        <w:adjustRightInd w:val="0"/>
        <w:spacing w:line="540" w:lineRule="exact"/>
        <w:jc w:val="center"/>
        <w:rPr>
          <w:rFonts w:ascii="Times New Roman" w:hAnsi="Times New Roman" w:eastAsia="仿宋_GB2312"/>
          <w:b/>
          <w:kern w:val="0"/>
          <w:sz w:val="24"/>
          <w:szCs w:val="24"/>
          <w:highlight w:val="none"/>
        </w:rPr>
      </w:pPr>
      <w:r>
        <w:rPr>
          <w:rFonts w:ascii="Times New Roman" w:hAnsi="Times New Roman"/>
          <w:b/>
          <w:kern w:val="36"/>
          <w:sz w:val="36"/>
          <w:szCs w:val="36"/>
          <w:highlight w:val="none"/>
        </w:rPr>
        <w:br w:type="page"/>
      </w:r>
      <w:r>
        <w:rPr>
          <w:rFonts w:hint="eastAsia" w:ascii="仿宋_GB2312" w:hAnsi="Times New Roman" w:eastAsia="仿宋_GB2312" w:cs="仿宋_GB2312"/>
          <w:b/>
          <w:kern w:val="0"/>
          <w:sz w:val="36"/>
          <w:szCs w:val="36"/>
          <w:highlight w:val="none"/>
        </w:rPr>
        <w:t>目</w:t>
      </w:r>
      <w:r>
        <w:rPr>
          <w:rFonts w:ascii="仿宋_GB2312" w:hAnsi="Times New Roman" w:eastAsia="仿宋_GB2312" w:cs="仿宋_GB2312"/>
          <w:b/>
          <w:kern w:val="0"/>
          <w:sz w:val="36"/>
          <w:szCs w:val="36"/>
          <w:highlight w:val="none"/>
        </w:rPr>
        <w:t xml:space="preserve">  </w:t>
      </w:r>
      <w:r>
        <w:rPr>
          <w:rFonts w:hint="eastAsia" w:ascii="仿宋_GB2312" w:hAnsi="Times New Roman" w:eastAsia="仿宋_GB2312" w:cs="仿宋_GB2312"/>
          <w:b/>
          <w:kern w:val="0"/>
          <w:sz w:val="36"/>
          <w:szCs w:val="36"/>
          <w:highlight w:val="none"/>
        </w:rPr>
        <w:t>录</w:t>
      </w:r>
    </w:p>
    <w:p>
      <w:pPr>
        <w:autoSpaceDE w:val="0"/>
        <w:autoSpaceDN w:val="0"/>
        <w:adjustRightInd w:val="0"/>
        <w:spacing w:line="540" w:lineRule="exact"/>
        <w:rPr>
          <w:rFonts w:ascii="Times New Roman" w:hAnsi="Times New Roman" w:eastAsia="仿宋_GB2312"/>
          <w:kern w:val="0"/>
          <w:sz w:val="32"/>
          <w:szCs w:val="32"/>
          <w:highlight w:val="none"/>
        </w:rPr>
      </w:pPr>
      <w:r>
        <w:rPr>
          <w:rFonts w:hint="eastAsia" w:ascii="仿宋_GB2312" w:hAnsi="Times New Roman" w:eastAsia="仿宋_GB2312" w:cs="仿宋_GB2312"/>
          <w:b/>
          <w:kern w:val="0"/>
          <w:sz w:val="32"/>
          <w:szCs w:val="32"/>
          <w:highlight w:val="none"/>
        </w:rPr>
        <w:t>第一部分</w:t>
      </w:r>
      <w:r>
        <w:rPr>
          <w:rFonts w:ascii="仿宋_GB2312" w:hAnsi="Times New Roman" w:eastAsia="仿宋_GB2312" w:cs="仿宋_GB2312"/>
          <w:b/>
          <w:kern w:val="0"/>
          <w:sz w:val="32"/>
          <w:szCs w:val="32"/>
          <w:highlight w:val="none"/>
        </w:rPr>
        <w:t xml:space="preserve"> </w:t>
      </w:r>
      <w:r>
        <w:rPr>
          <w:rFonts w:hint="eastAsia" w:ascii="仿宋_GB2312" w:hAnsi="Times New Roman" w:eastAsia="仿宋_GB2312" w:cs="仿宋_GB2312"/>
          <w:b/>
          <w:kern w:val="0"/>
          <w:sz w:val="32"/>
          <w:szCs w:val="32"/>
          <w:highlight w:val="none"/>
        </w:rPr>
        <w:t>部门单位概况</w:t>
      </w:r>
    </w:p>
    <w:p>
      <w:pPr>
        <w:autoSpaceDE w:val="0"/>
        <w:autoSpaceDN w:val="0"/>
        <w:adjustRightInd w:val="0"/>
        <w:spacing w:line="540" w:lineRule="exact"/>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一、主要职能</w:t>
      </w:r>
    </w:p>
    <w:p>
      <w:pPr>
        <w:autoSpaceDE w:val="0"/>
        <w:autoSpaceDN w:val="0"/>
        <w:adjustRightInd w:val="0"/>
        <w:spacing w:line="540" w:lineRule="exact"/>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二、</w:t>
      </w:r>
      <w:r>
        <w:rPr>
          <w:rFonts w:hint="eastAsia" w:ascii="仿宋_GB2312" w:hAnsi="Times New Roman" w:eastAsia="仿宋_GB2312" w:cs="仿宋_GB2312"/>
          <w:sz w:val="32"/>
          <w:szCs w:val="32"/>
          <w:highlight w:val="none"/>
        </w:rPr>
        <w:t>机构设置及人员情况</w:t>
      </w:r>
    </w:p>
    <w:p>
      <w:pPr>
        <w:autoSpaceDE w:val="0"/>
        <w:autoSpaceDN w:val="0"/>
        <w:adjustRightInd w:val="0"/>
        <w:spacing w:line="540" w:lineRule="exact"/>
        <w:rPr>
          <w:rFonts w:ascii="Times New Roman" w:hAnsi="Times New Roman" w:eastAsia="仿宋_GB2312"/>
          <w:kern w:val="0"/>
          <w:sz w:val="32"/>
          <w:szCs w:val="32"/>
          <w:highlight w:val="none"/>
        </w:rPr>
      </w:pPr>
      <w:r>
        <w:rPr>
          <w:rFonts w:hint="eastAsia" w:ascii="仿宋_GB2312" w:hAnsi="Times New Roman" w:eastAsia="仿宋_GB2312" w:cs="仿宋_GB2312"/>
          <w:b/>
          <w:kern w:val="0"/>
          <w:sz w:val="32"/>
          <w:szCs w:val="32"/>
          <w:highlight w:val="none"/>
        </w:rPr>
        <w:t>第二部分</w:t>
      </w:r>
      <w:r>
        <w:rPr>
          <w:rFonts w:ascii="仿宋_GB2312" w:hAnsi="Times New Roman" w:eastAsia="仿宋_GB2312" w:cs="仿宋_GB2312"/>
          <w:b/>
          <w:kern w:val="0"/>
          <w:sz w:val="32"/>
          <w:szCs w:val="32"/>
          <w:highlight w:val="none"/>
        </w:rPr>
        <w:t xml:space="preserve"> </w:t>
      </w:r>
      <w:r>
        <w:rPr>
          <w:rFonts w:hint="eastAsia" w:ascii="仿宋_GB2312" w:hAnsi="Times New Roman" w:eastAsia="仿宋_GB2312" w:cs="仿宋_GB2312"/>
          <w:b/>
          <w:kern w:val="0"/>
          <w:sz w:val="32"/>
          <w:szCs w:val="32"/>
          <w:highlight w:val="none"/>
        </w:rPr>
        <w:t>部门决算情况说明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一、收入支出决算总体情况说明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二、收入决算情况说明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三、支出决算情况说明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四、财政拨款收入支出决算总体情况说明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五、一般公共预算财政拨款支出决算情况说明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六、一般公共预算财政拨款基本支出决算情况说明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七、一般公共预算财政拨款</w:t>
      </w:r>
      <w:r>
        <w:rPr>
          <w:rFonts w:ascii="Times New Roman" w:hAnsi="Times New Roman" w:eastAsia="仿宋_GB2312" w:cs="仿宋_GB2312"/>
          <w:sz w:val="32"/>
          <w:szCs w:val="32"/>
          <w:highlight w:val="none"/>
        </w:rPr>
        <w:t>“</w:t>
      </w:r>
      <w:r>
        <w:rPr>
          <w:rFonts w:hint="eastAsia" w:ascii="仿宋_GB2312" w:hAnsi="Times New Roman" w:eastAsia="仿宋_GB2312" w:cs="仿宋_GB2312"/>
          <w:sz w:val="32"/>
          <w:szCs w:val="32"/>
          <w:highlight w:val="none"/>
        </w:rPr>
        <w:t>三公</w:t>
      </w:r>
      <w:r>
        <w:rPr>
          <w:rFonts w:ascii="Times New Roman" w:hAnsi="Times New Roman" w:eastAsia="仿宋_GB2312" w:cs="仿宋_GB2312"/>
          <w:sz w:val="32"/>
          <w:szCs w:val="32"/>
          <w:highlight w:val="none"/>
        </w:rPr>
        <w:t>”</w:t>
      </w:r>
      <w:r>
        <w:rPr>
          <w:rFonts w:hint="eastAsia" w:ascii="仿宋_GB2312" w:hAnsi="Times New Roman" w:eastAsia="仿宋_GB2312" w:cs="仿宋_GB2312"/>
          <w:sz w:val="32"/>
          <w:szCs w:val="32"/>
          <w:highlight w:val="none"/>
        </w:rPr>
        <w:t>经费支出决算情况说明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八、政府性基金预算</w:t>
      </w:r>
      <w:r>
        <w:rPr>
          <w:rFonts w:hint="eastAsia" w:ascii="仿宋_GB2312" w:hAnsi="Times New Roman" w:eastAsia="仿宋_GB2312" w:cs="仿宋_GB2312"/>
          <w:sz w:val="32"/>
          <w:szCs w:val="32"/>
          <w:highlight w:val="none"/>
          <w:lang w:val="zh-CN"/>
        </w:rPr>
        <w:t>财政拨款</w:t>
      </w:r>
      <w:r>
        <w:rPr>
          <w:rFonts w:hint="eastAsia" w:ascii="仿宋_GB2312" w:hAnsi="Times New Roman" w:eastAsia="仿宋_GB2312" w:cs="仿宋_GB2312"/>
          <w:sz w:val="32"/>
          <w:szCs w:val="32"/>
          <w:highlight w:val="none"/>
        </w:rPr>
        <w:t>收入支出决算情况说明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九、国有资本经营预算财政拨款收入支出决算情况说明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十、其他重要事项的情况说明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（一）机关运行经费支出情况</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（二）政府采购情况</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（三）国有资产占用情况说明</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十</w:t>
      </w:r>
      <w:r>
        <w:rPr>
          <w:rFonts w:hint="eastAsia" w:ascii="仿宋_GB2312" w:hAnsi="Times New Roman" w:eastAsia="仿宋_GB2312" w:cs="仿宋_GB2312"/>
          <w:sz w:val="32"/>
          <w:szCs w:val="32"/>
          <w:highlight w:val="none"/>
          <w:lang w:val="zh-CN"/>
        </w:rPr>
        <w:t>一</w:t>
      </w:r>
      <w:r>
        <w:rPr>
          <w:rFonts w:hint="eastAsia" w:ascii="仿宋_GB2312" w:hAnsi="Times New Roman" w:eastAsia="仿宋_GB2312" w:cs="仿宋_GB2312"/>
          <w:sz w:val="32"/>
          <w:szCs w:val="32"/>
          <w:highlight w:val="none"/>
        </w:rPr>
        <w:t>、预算绩效的情况说明</w:t>
      </w:r>
    </w:p>
    <w:p>
      <w:pPr>
        <w:autoSpaceDE w:val="0"/>
        <w:autoSpaceDN w:val="0"/>
        <w:adjustRightInd w:val="0"/>
        <w:spacing w:line="540" w:lineRule="exact"/>
        <w:rPr>
          <w:rFonts w:ascii="Times New Roman" w:hAnsi="Times New Roman" w:eastAsia="仿宋_GB2312"/>
          <w:b/>
          <w:kern w:val="0"/>
          <w:sz w:val="32"/>
          <w:szCs w:val="32"/>
          <w:highlight w:val="none"/>
        </w:rPr>
      </w:pPr>
      <w:r>
        <w:rPr>
          <w:rFonts w:hint="eastAsia" w:ascii="仿宋_GB2312" w:hAnsi="Times New Roman" w:eastAsia="仿宋_GB2312" w:cs="仿宋_GB2312"/>
          <w:b/>
          <w:kern w:val="0"/>
          <w:sz w:val="32"/>
          <w:szCs w:val="32"/>
          <w:highlight w:val="none"/>
        </w:rPr>
        <w:t>第三部分</w:t>
      </w:r>
      <w:r>
        <w:rPr>
          <w:rFonts w:ascii="仿宋_GB2312" w:hAnsi="Times New Roman" w:eastAsia="仿宋_GB2312" w:cs="仿宋_GB2312"/>
          <w:b/>
          <w:kern w:val="0"/>
          <w:sz w:val="32"/>
          <w:szCs w:val="32"/>
          <w:highlight w:val="none"/>
        </w:rPr>
        <w:t xml:space="preserve"> </w:t>
      </w:r>
      <w:r>
        <w:rPr>
          <w:rFonts w:hint="eastAsia" w:ascii="仿宋_GB2312" w:hAnsi="Times New Roman" w:eastAsia="仿宋_GB2312" w:cs="仿宋_GB2312"/>
          <w:b/>
          <w:kern w:val="0"/>
          <w:sz w:val="32"/>
          <w:szCs w:val="32"/>
          <w:highlight w:val="none"/>
        </w:rPr>
        <w:t>专业名词解释</w:t>
      </w:r>
    </w:p>
    <w:p>
      <w:pPr>
        <w:autoSpaceDE w:val="0"/>
        <w:autoSpaceDN w:val="0"/>
        <w:adjustRightInd w:val="0"/>
        <w:spacing w:line="540" w:lineRule="exact"/>
        <w:rPr>
          <w:rFonts w:ascii="Times New Roman" w:hAnsi="Times New Roman" w:eastAsia="仿宋_GB2312"/>
          <w:b/>
          <w:kern w:val="0"/>
          <w:sz w:val="32"/>
          <w:szCs w:val="32"/>
          <w:highlight w:val="none"/>
        </w:rPr>
      </w:pPr>
      <w:r>
        <w:rPr>
          <w:rFonts w:hint="eastAsia" w:ascii="仿宋_GB2312" w:hAnsi="Times New Roman" w:eastAsia="仿宋_GB2312" w:cs="仿宋_GB2312"/>
          <w:b/>
          <w:kern w:val="0"/>
          <w:sz w:val="32"/>
          <w:szCs w:val="32"/>
          <w:highlight w:val="none"/>
        </w:rPr>
        <w:t>第四部分</w:t>
      </w:r>
      <w:r>
        <w:rPr>
          <w:rFonts w:ascii="仿宋_GB2312" w:hAnsi="Times New Roman" w:eastAsia="仿宋_GB2312" w:cs="仿宋_GB2312"/>
          <w:b/>
          <w:kern w:val="0"/>
          <w:sz w:val="32"/>
          <w:szCs w:val="32"/>
          <w:highlight w:val="none"/>
        </w:rPr>
        <w:t xml:space="preserve"> </w:t>
      </w:r>
      <w:r>
        <w:rPr>
          <w:rFonts w:hint="eastAsia" w:ascii="仿宋_GB2312" w:hAnsi="Times New Roman" w:eastAsia="仿宋_GB2312" w:cs="仿宋_GB2312"/>
          <w:b/>
          <w:kern w:val="0"/>
          <w:sz w:val="32"/>
          <w:szCs w:val="32"/>
          <w:highlight w:val="none"/>
        </w:rPr>
        <w:t>部</w:t>
      </w:r>
      <w:r>
        <w:rPr>
          <w:rFonts w:hint="eastAsia" w:ascii="仿宋_GB2312" w:hAnsi="Times New Roman" w:eastAsia="仿宋_GB2312" w:cs="仿宋_GB2312"/>
          <w:b/>
          <w:sz w:val="32"/>
          <w:szCs w:val="32"/>
          <w:highlight w:val="none"/>
        </w:rPr>
        <w:t>门决算报表（见附表）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一、《收入支出决算总表》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二、《收入决算表》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三、《支出决算表》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四、《财政拨款收入支出决算总表》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五、《一般公共预算财政拨款支出决算表》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六、《一般公共预算财政拨款基本支出决算表》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七、《一般公共预算财政拨款</w:t>
      </w:r>
      <w:r>
        <w:rPr>
          <w:rFonts w:ascii="Times New Roman" w:hAnsi="Times New Roman" w:eastAsia="仿宋_GB2312" w:cs="仿宋_GB2312"/>
          <w:sz w:val="32"/>
          <w:szCs w:val="32"/>
          <w:highlight w:val="none"/>
        </w:rPr>
        <w:t>“</w:t>
      </w:r>
      <w:r>
        <w:rPr>
          <w:rFonts w:hint="eastAsia" w:ascii="仿宋_GB2312" w:hAnsi="Times New Roman" w:eastAsia="仿宋_GB2312" w:cs="仿宋_GB2312"/>
          <w:sz w:val="32"/>
          <w:szCs w:val="32"/>
          <w:highlight w:val="none"/>
        </w:rPr>
        <w:t>三公</w:t>
      </w:r>
      <w:r>
        <w:rPr>
          <w:rFonts w:ascii="Times New Roman" w:hAnsi="Times New Roman" w:eastAsia="仿宋_GB2312" w:cs="仿宋_GB2312"/>
          <w:sz w:val="32"/>
          <w:szCs w:val="32"/>
          <w:highlight w:val="none"/>
        </w:rPr>
        <w:t>”</w:t>
      </w:r>
      <w:r>
        <w:rPr>
          <w:rFonts w:hint="eastAsia" w:ascii="仿宋_GB2312" w:hAnsi="Times New Roman" w:eastAsia="仿宋_GB2312" w:cs="仿宋_GB2312"/>
          <w:sz w:val="32"/>
          <w:szCs w:val="32"/>
          <w:highlight w:val="none"/>
        </w:rPr>
        <w:t>经费支出决算表》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八、《政府性基金预算财政拨款收入支出决算表》</w:t>
      </w:r>
    </w:p>
    <w:p>
      <w:pPr>
        <w:autoSpaceDE w:val="0"/>
        <w:autoSpaceDN w:val="0"/>
        <w:adjustRightInd w:val="0"/>
        <w:spacing w:line="540" w:lineRule="exact"/>
        <w:rPr>
          <w:rFonts w:ascii="Times New Roman" w:hAnsi="Times New Roman" w:eastAsia="仿宋_GB2312"/>
          <w:sz w:val="32"/>
          <w:szCs w:val="32"/>
          <w:highlight w:val="none"/>
        </w:rPr>
      </w:pPr>
      <w:r>
        <w:rPr>
          <w:rFonts w:hint="eastAsia" w:ascii="仿宋_GB2312" w:hAnsi="Times New Roman" w:eastAsia="仿宋_GB2312" w:cs="仿宋_GB2312"/>
          <w:sz w:val="32"/>
          <w:szCs w:val="32"/>
          <w:highlight w:val="none"/>
        </w:rPr>
        <w:t>九、《国有资本经营预算财政拨款收入支出决算表》</w:t>
      </w:r>
    </w:p>
    <w:p>
      <w:pPr>
        <w:autoSpaceDE w:val="0"/>
        <w:autoSpaceDN w:val="0"/>
        <w:adjustRightInd w:val="0"/>
        <w:spacing w:line="540" w:lineRule="exact"/>
        <w:ind w:firstLine="640"/>
        <w:rPr>
          <w:rFonts w:ascii="Times New Roman" w:hAnsi="Times New Roman" w:eastAsia="仿宋_GB2312"/>
          <w:b/>
          <w:kern w:val="0"/>
          <w:sz w:val="28"/>
          <w:szCs w:val="28"/>
          <w:highlight w:val="none"/>
        </w:rPr>
      </w:pPr>
    </w:p>
    <w:p>
      <w:pPr>
        <w:shd w:val="clear" w:color="auto" w:fill="FFFFFF"/>
        <w:autoSpaceDE w:val="0"/>
        <w:autoSpaceDN w:val="0"/>
        <w:adjustRightInd w:val="0"/>
        <w:spacing w:line="360" w:lineRule="auto"/>
        <w:jc w:val="center"/>
        <w:rPr>
          <w:rFonts w:ascii="Times New Roman" w:hAnsi="Times New Roman" w:eastAsia="仿宋_GB2312"/>
          <w:kern w:val="0"/>
          <w:sz w:val="32"/>
          <w:szCs w:val="32"/>
          <w:highlight w:val="none"/>
        </w:rPr>
      </w:pPr>
    </w:p>
    <w:p>
      <w:pPr>
        <w:shd w:val="clear" w:color="auto" w:fill="FFFFFF"/>
        <w:autoSpaceDE w:val="0"/>
        <w:autoSpaceDN w:val="0"/>
        <w:adjustRightInd w:val="0"/>
        <w:spacing w:line="360" w:lineRule="auto"/>
        <w:jc w:val="center"/>
        <w:rPr>
          <w:rFonts w:cs="黑体"/>
          <w:kern w:val="0"/>
          <w:sz w:val="32"/>
          <w:szCs w:val="32"/>
          <w:highlight w:val="none"/>
          <w:rtl/>
          <w:lang w:val="ar-SA"/>
        </w:rPr>
      </w:pPr>
      <w:r>
        <w:rPr>
          <w:rFonts w:ascii="Times New Roman" w:hAnsi="Times New Roman" w:eastAsia="仿宋_GB2312"/>
          <w:kern w:val="0"/>
          <w:sz w:val="32"/>
          <w:szCs w:val="32"/>
          <w:highlight w:val="none"/>
        </w:rPr>
        <w:br w:type="page"/>
      </w:r>
      <w:r>
        <w:rPr>
          <w:rFonts w:hint="eastAsia" w:ascii="黑体" w:hAnsi="Times New Roman" w:eastAsia="黑体" w:cs="黑体"/>
          <w:kern w:val="0"/>
          <w:sz w:val="32"/>
          <w:szCs w:val="32"/>
          <w:highlight w:val="none"/>
        </w:rPr>
        <w:t>第一部分</w:t>
      </w:r>
      <w:r>
        <w:rPr>
          <w:rFonts w:ascii="黑体" w:hAnsi="Times New Roman" w:eastAsia="黑体" w:cs="黑体"/>
          <w:kern w:val="0"/>
          <w:sz w:val="32"/>
          <w:szCs w:val="32"/>
          <w:highlight w:val="none"/>
        </w:rPr>
        <w:t xml:space="preserve"> </w:t>
      </w:r>
      <w:r>
        <w:rPr>
          <w:rFonts w:hint="eastAsia" w:ascii="黑体" w:hAnsi="Times New Roman" w:eastAsia="黑体" w:cs="黑体"/>
          <w:kern w:val="0"/>
          <w:sz w:val="32"/>
          <w:szCs w:val="32"/>
          <w:highlight w:val="none"/>
        </w:rPr>
        <w:t>部门单位概况</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一、主要职能</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1</w:t>
      </w:r>
      <w:r>
        <w:rPr>
          <w:rFonts w:hint="eastAsia" w:ascii="仿宋_GB2312" w:hAnsi="Times New Roman" w:eastAsia="仿宋_GB2312" w:cs="仿宋_GB2312"/>
          <w:kern w:val="0"/>
          <w:sz w:val="32"/>
          <w:szCs w:val="32"/>
          <w:highlight w:val="none"/>
        </w:rPr>
        <w:t>、受区委、管委会（区人民政府）委托，统一领导和管理辖区党务、行政和社会事务工作，促进街道和谐发展。统筹整合辖区行政资源、社会资源和公共服务资源，综合协调相关职能部门和驻区企事业单位，为辖区居民提供民生保障、社会治安、城市管理等综合服务。</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w:t>
      </w:r>
      <w:r>
        <w:rPr>
          <w:rFonts w:hint="eastAsia" w:ascii="仿宋_GB2312" w:hAnsi="Times New Roman" w:eastAsia="仿宋_GB2312" w:cs="仿宋_GB2312"/>
          <w:kern w:val="0"/>
          <w:sz w:val="32"/>
          <w:szCs w:val="32"/>
          <w:highlight w:val="none"/>
        </w:rPr>
        <w:t>、抓好基层党组织建设，充分发挥党组织的战斗堡垒作用和党员的先锋模范作用，实施党对本行政区域社会发展和经济活动的领导、决策，促进党风廉政建设；组织开展思想政治教育；负责辖区的精神文明建设，提高全民素质。</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3</w:t>
      </w:r>
      <w:r>
        <w:rPr>
          <w:rFonts w:hint="eastAsia" w:ascii="仿宋_GB2312" w:hAnsi="Times New Roman" w:eastAsia="仿宋_GB2312" w:cs="仿宋_GB2312"/>
          <w:kern w:val="0"/>
          <w:sz w:val="32"/>
          <w:szCs w:val="32"/>
          <w:highlight w:val="none"/>
        </w:rPr>
        <w:t>、制定街道经济发展规划，管理街道经济工作，组织、督促街道经济组织的生产、经营和发展；协助开展税收征管工作；向辖区内的机关、团体、企、事业单位布置有关城市管理、方便群众生活等区域性、社会性、群众性的工作，并进行协商，指导督促、检查和考核。</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4</w:t>
      </w:r>
      <w:r>
        <w:rPr>
          <w:rFonts w:hint="eastAsia" w:ascii="仿宋_GB2312" w:hAnsi="Times New Roman" w:eastAsia="仿宋_GB2312" w:cs="仿宋_GB2312"/>
          <w:kern w:val="0"/>
          <w:sz w:val="32"/>
          <w:szCs w:val="32"/>
          <w:highlight w:val="none"/>
        </w:rPr>
        <w:t>、组织实施社会治安综合治理规划，开展依法治街、法制教育、人民调解、维护辖区社会稳定。</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5</w:t>
      </w:r>
      <w:r>
        <w:rPr>
          <w:rFonts w:hint="eastAsia" w:ascii="仿宋_GB2312" w:hAnsi="Times New Roman" w:eastAsia="仿宋_GB2312" w:cs="仿宋_GB2312"/>
          <w:kern w:val="0"/>
          <w:sz w:val="32"/>
          <w:szCs w:val="32"/>
          <w:highlight w:val="none"/>
        </w:rPr>
        <w:t>、负责基层政权组织建设，对社区居委会实施的各项工作进行督促、检查、指导；开展拥军优属，做好国防教育、民兵预备役和兵役、“双拥”工作；兴办社会福利事业，做好社会救济和其他社会保障工作；配合做好抢险救灾工作；开展便民、利民的社区服务，帮助待业人员和再就业人员安置工作。</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6</w:t>
      </w:r>
      <w:r>
        <w:rPr>
          <w:rFonts w:hint="eastAsia" w:ascii="仿宋_GB2312" w:hAnsi="Times New Roman" w:eastAsia="仿宋_GB2312" w:cs="仿宋_GB2312"/>
          <w:kern w:val="0"/>
          <w:sz w:val="32"/>
          <w:szCs w:val="32"/>
          <w:highlight w:val="none"/>
        </w:rPr>
        <w:t>、负责辖区市容环境卫生、绿化、美化环境、殡葬、综合整治等城市管理工作。</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7</w:t>
      </w:r>
      <w:r>
        <w:rPr>
          <w:rFonts w:hint="eastAsia" w:ascii="仿宋_GB2312" w:hAnsi="Times New Roman" w:eastAsia="仿宋_GB2312" w:cs="仿宋_GB2312"/>
          <w:kern w:val="0"/>
          <w:sz w:val="32"/>
          <w:szCs w:val="32"/>
          <w:highlight w:val="none"/>
        </w:rPr>
        <w:t>、开展计划生育、卫生保健、群众文化、科普、体育等各项工作。</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8</w:t>
      </w:r>
      <w:r>
        <w:rPr>
          <w:rFonts w:hint="eastAsia" w:ascii="仿宋_GB2312" w:hAnsi="Times New Roman" w:eastAsia="仿宋_GB2312" w:cs="仿宋_GB2312"/>
          <w:kern w:val="0"/>
          <w:sz w:val="32"/>
          <w:szCs w:val="32"/>
          <w:highlight w:val="none"/>
        </w:rPr>
        <w:t>、做好民族宗教、统战工作。</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9</w:t>
      </w:r>
      <w:r>
        <w:rPr>
          <w:rFonts w:hint="eastAsia" w:ascii="仿宋_GB2312" w:hAnsi="Times New Roman" w:eastAsia="仿宋_GB2312" w:cs="仿宋_GB2312"/>
          <w:kern w:val="0"/>
          <w:sz w:val="32"/>
          <w:szCs w:val="32"/>
          <w:highlight w:val="none"/>
        </w:rPr>
        <w:t>、保护老年人、未成年人、妇女、儿童、残疾人和归侨、侨眷及少数民族的合法权益。</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10</w:t>
      </w:r>
      <w:r>
        <w:rPr>
          <w:rFonts w:hint="eastAsia" w:ascii="仿宋_GB2312" w:hAnsi="Times New Roman" w:eastAsia="仿宋_GB2312" w:cs="仿宋_GB2312"/>
          <w:kern w:val="0"/>
          <w:sz w:val="32"/>
          <w:szCs w:val="32"/>
          <w:highlight w:val="none"/>
        </w:rPr>
        <w:t>、向区政府反映居民的意见和要求，处理群众来信、来访工作。</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11</w:t>
      </w:r>
      <w:r>
        <w:rPr>
          <w:rFonts w:hint="eastAsia" w:ascii="仿宋_GB2312" w:hAnsi="Times New Roman" w:eastAsia="仿宋_GB2312" w:cs="仿宋_GB2312"/>
          <w:kern w:val="0"/>
          <w:sz w:val="32"/>
          <w:szCs w:val="32"/>
          <w:highlight w:val="none"/>
        </w:rPr>
        <w:t>、负责辖区内人大代表的组织联络工作。</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lang w:val="zh-CN"/>
        </w:rPr>
      </w:pPr>
      <w:r>
        <w:rPr>
          <w:rFonts w:ascii="仿宋_GB2312" w:hAnsi="Times New Roman" w:eastAsia="仿宋_GB2312" w:cs="仿宋_GB2312"/>
          <w:kern w:val="0"/>
          <w:sz w:val="32"/>
          <w:szCs w:val="32"/>
          <w:highlight w:val="none"/>
        </w:rPr>
        <w:t>12</w:t>
      </w:r>
      <w:r>
        <w:rPr>
          <w:rFonts w:hint="eastAsia" w:ascii="仿宋_GB2312" w:hAnsi="Times New Roman" w:eastAsia="仿宋_GB2312" w:cs="仿宋_GB2312"/>
          <w:kern w:val="0"/>
          <w:sz w:val="32"/>
          <w:szCs w:val="32"/>
          <w:highlight w:val="none"/>
        </w:rPr>
        <w:t>、承办区委、区人民政府交办的其他工作任务。</w:t>
      </w:r>
    </w:p>
    <w:p>
      <w:pPr>
        <w:autoSpaceDE w:val="0"/>
        <w:autoSpaceDN w:val="0"/>
        <w:adjustRightInd w:val="0"/>
        <w:spacing w:line="360" w:lineRule="auto"/>
        <w:rPr>
          <w:rFonts w:ascii="Times New Roman" w:hAnsi="Times New Roman" w:eastAsia="黑体"/>
          <w:sz w:val="32"/>
          <w:szCs w:val="32"/>
          <w:highlight w:val="none"/>
          <w:lang w:val="zh-CN"/>
        </w:rPr>
      </w:pP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二、机构设置及人员情况</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乌鲁木齐高新技术产业开发区（乌鲁木齐市新市区）</w:t>
      </w:r>
      <w:r>
        <w:rPr>
          <w:rFonts w:hint="eastAsia" w:ascii="仿宋_GB2312" w:hAnsi="仿宋_GB2312" w:eastAsia="仿宋_GB2312"/>
          <w:kern w:val="0"/>
          <w:sz w:val="32"/>
          <w:szCs w:val="24"/>
          <w:highlight w:val="none"/>
        </w:rPr>
        <w:t>正扬路片区管理委员会</w:t>
      </w: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年度，实有人数</w:t>
      </w:r>
      <w:r>
        <w:rPr>
          <w:rFonts w:ascii="仿宋_GB2312" w:hAnsi="仿宋_GB2312" w:eastAsia="仿宋_GB2312"/>
          <w:kern w:val="0"/>
          <w:sz w:val="32"/>
          <w:szCs w:val="24"/>
          <w:highlight w:val="none"/>
        </w:rPr>
        <w:t>76</w:t>
      </w:r>
      <w:r>
        <w:rPr>
          <w:rFonts w:hint="eastAsia" w:ascii="仿宋_GB2312" w:hAnsi="Times New Roman" w:eastAsia="仿宋_GB2312" w:cs="仿宋_GB2312"/>
          <w:kern w:val="0"/>
          <w:sz w:val="32"/>
          <w:szCs w:val="32"/>
          <w:highlight w:val="none"/>
        </w:rPr>
        <w:t>人，其中：在职人员</w:t>
      </w:r>
      <w:r>
        <w:rPr>
          <w:rFonts w:ascii="仿宋_GB2312" w:hAnsi="仿宋_GB2312" w:eastAsia="仿宋_GB2312"/>
          <w:kern w:val="0"/>
          <w:sz w:val="32"/>
          <w:szCs w:val="24"/>
          <w:highlight w:val="none"/>
        </w:rPr>
        <w:t>76</w:t>
      </w:r>
      <w:r>
        <w:rPr>
          <w:rFonts w:hint="eastAsia" w:ascii="仿宋_GB2312" w:hAnsi="Times New Roman" w:eastAsia="仿宋_GB2312" w:cs="仿宋_GB2312"/>
          <w:kern w:val="0"/>
          <w:sz w:val="32"/>
          <w:szCs w:val="32"/>
          <w:highlight w:val="none"/>
        </w:rPr>
        <w:t>人，离休人员</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人，退休人员</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人。</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lang w:val="zh-CN"/>
        </w:rPr>
      </w:pPr>
      <w:r>
        <w:rPr>
          <w:rFonts w:hint="eastAsia" w:ascii="仿宋_GB2312" w:hAnsi="Times New Roman" w:eastAsia="仿宋_GB2312" w:cs="仿宋_GB2312"/>
          <w:kern w:val="0"/>
          <w:sz w:val="32"/>
          <w:szCs w:val="32"/>
          <w:highlight w:val="none"/>
        </w:rPr>
        <w:t>从部门决算单位构成看，乌鲁木齐高新技术产业开发区（乌鲁木齐市新市区）</w:t>
      </w:r>
      <w:r>
        <w:rPr>
          <w:rFonts w:hint="eastAsia" w:ascii="仿宋_GB2312" w:hAnsi="仿宋_GB2312" w:eastAsia="仿宋_GB2312"/>
          <w:kern w:val="0"/>
          <w:sz w:val="32"/>
          <w:szCs w:val="24"/>
          <w:highlight w:val="none"/>
        </w:rPr>
        <w:t>正扬路片区管理委员会</w:t>
      </w:r>
      <w:r>
        <w:rPr>
          <w:rFonts w:hint="eastAsia" w:ascii="仿宋_GB2312" w:hAnsi="Times New Roman" w:eastAsia="仿宋_GB2312" w:cs="仿宋_GB2312"/>
          <w:kern w:val="0"/>
          <w:sz w:val="32"/>
          <w:szCs w:val="32"/>
          <w:highlight w:val="none"/>
        </w:rPr>
        <w:t>部门决算包括：乌鲁木齐高新技术产业开发区（乌鲁木齐市新市区）</w:t>
      </w:r>
      <w:r>
        <w:rPr>
          <w:rFonts w:hint="eastAsia" w:ascii="仿宋_GB2312" w:hAnsi="仿宋_GB2312" w:eastAsia="仿宋_GB2312"/>
          <w:kern w:val="0"/>
          <w:sz w:val="32"/>
          <w:szCs w:val="24"/>
          <w:highlight w:val="none"/>
        </w:rPr>
        <w:t>正扬路片区管理委员会</w:t>
      </w:r>
      <w:r>
        <w:rPr>
          <w:rFonts w:hint="eastAsia" w:ascii="仿宋_GB2312" w:hAnsi="Times New Roman" w:eastAsia="仿宋_GB2312" w:cs="仿宋_GB2312"/>
          <w:kern w:val="0"/>
          <w:sz w:val="32"/>
          <w:szCs w:val="32"/>
          <w:highlight w:val="none"/>
          <w:lang w:val="zh-CN"/>
        </w:rPr>
        <w:t>决算。单位无下属预算单位，下设</w:t>
      </w:r>
      <w:r>
        <w:rPr>
          <w:rFonts w:ascii="仿宋_GB2312" w:hAnsi="Times New Roman" w:eastAsia="仿宋_GB2312" w:cs="仿宋_GB2312"/>
          <w:kern w:val="0"/>
          <w:sz w:val="32"/>
          <w:szCs w:val="32"/>
          <w:highlight w:val="none"/>
        </w:rPr>
        <w:t>4</w:t>
      </w:r>
      <w:r>
        <w:rPr>
          <w:rFonts w:hint="eastAsia" w:ascii="仿宋_GB2312" w:hAnsi="Times New Roman" w:eastAsia="仿宋_GB2312" w:cs="仿宋_GB2312"/>
          <w:kern w:val="0"/>
          <w:sz w:val="32"/>
          <w:szCs w:val="32"/>
          <w:highlight w:val="none"/>
          <w:lang w:val="zh-CN"/>
        </w:rPr>
        <w:t>个科室，分别是：</w:t>
      </w:r>
      <w:r>
        <w:rPr>
          <w:rFonts w:hint="eastAsia" w:ascii="仿宋_GB2312" w:hAnsi="Times New Roman" w:eastAsia="仿宋_GB2312" w:cs="仿宋_GB2312"/>
          <w:kern w:val="0"/>
          <w:sz w:val="32"/>
          <w:szCs w:val="32"/>
          <w:highlight w:val="none"/>
        </w:rPr>
        <w:t>党群服务中心、社会事务（统计）服务中心（退役军人服务站）、防疫专员办公室（公共卫生服务指导中心）、综治中心（网格化服务中心）</w:t>
      </w:r>
      <w:r>
        <w:rPr>
          <w:rFonts w:hint="eastAsia" w:ascii="仿宋_GB2312" w:hAnsi="Times New Roman" w:eastAsia="仿宋_GB2312" w:cs="仿宋_GB2312"/>
          <w:kern w:val="0"/>
          <w:sz w:val="32"/>
          <w:szCs w:val="32"/>
          <w:highlight w:val="none"/>
          <w:lang w:val="zh-CN"/>
        </w:rPr>
        <w:t>。</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lang w:val="zh-CN"/>
        </w:rPr>
      </w:pP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lang w:val="zh-CN"/>
        </w:rPr>
      </w:pPr>
    </w:p>
    <w:p>
      <w:pPr>
        <w:shd w:val="clear" w:color="auto" w:fill="FFFFFF"/>
        <w:autoSpaceDE w:val="0"/>
        <w:autoSpaceDN w:val="0"/>
        <w:adjustRightInd w:val="0"/>
        <w:spacing w:line="360" w:lineRule="auto"/>
        <w:ind w:firstLine="640"/>
        <w:rPr>
          <w:rFonts w:cs="宋体"/>
          <w:kern w:val="0"/>
          <w:sz w:val="24"/>
          <w:szCs w:val="24"/>
          <w:highlight w:val="none"/>
          <w:rtl/>
          <w:lang w:val="zh-CN"/>
        </w:rPr>
      </w:pPr>
    </w:p>
    <w:p>
      <w:pPr>
        <w:shd w:val="clear" w:color="auto" w:fill="FFFFFF"/>
        <w:autoSpaceDE w:val="0"/>
        <w:autoSpaceDN w:val="0"/>
        <w:adjustRightInd w:val="0"/>
        <w:spacing w:before="100" w:after="240"/>
        <w:jc w:val="center"/>
        <w:rPr>
          <w:rFonts w:ascii="黑体" w:hAnsi="Times New Roman" w:eastAsia="黑体" w:cs="黑体"/>
          <w:kern w:val="0"/>
          <w:sz w:val="32"/>
          <w:szCs w:val="32"/>
          <w:highlight w:val="none"/>
        </w:rPr>
      </w:pPr>
      <w:r>
        <w:rPr>
          <w:rFonts w:hint="eastAsia" w:ascii="黑体" w:hAnsi="Times New Roman" w:eastAsia="黑体" w:cs="黑体"/>
          <w:kern w:val="0"/>
          <w:sz w:val="32"/>
          <w:szCs w:val="32"/>
          <w:highlight w:val="none"/>
        </w:rPr>
        <w:t>第二部分</w:t>
      </w:r>
      <w:r>
        <w:rPr>
          <w:rFonts w:ascii="黑体" w:hAnsi="Times New Roman" w:eastAsia="黑体" w:cs="黑体"/>
          <w:kern w:val="0"/>
          <w:sz w:val="32"/>
          <w:szCs w:val="32"/>
          <w:highlight w:val="none"/>
        </w:rPr>
        <w:t xml:space="preserve"> </w:t>
      </w:r>
      <w:r>
        <w:rPr>
          <w:rFonts w:hint="eastAsia" w:ascii="黑体" w:hAnsi="Times New Roman" w:eastAsia="黑体" w:cs="黑体"/>
          <w:kern w:val="0"/>
          <w:sz w:val="32"/>
          <w:szCs w:val="32"/>
          <w:highlight w:val="none"/>
        </w:rPr>
        <w:t>部门决算情况说明</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一、收入支出决算总体情况说明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年度本年收入</w:t>
      </w:r>
      <w:r>
        <w:rPr>
          <w:rFonts w:ascii="仿宋_GB2312" w:hAnsi="Times New Roman" w:eastAsia="仿宋_GB2312" w:cs="仿宋_GB2312"/>
          <w:kern w:val="0"/>
          <w:sz w:val="32"/>
          <w:szCs w:val="32"/>
          <w:highlight w:val="none"/>
        </w:rPr>
        <w:t>4404.97</w:t>
      </w:r>
      <w:r>
        <w:rPr>
          <w:rFonts w:hint="eastAsia" w:ascii="仿宋_GB2312" w:hAnsi="Times New Roman" w:eastAsia="仿宋_GB2312" w:cs="仿宋_GB2312"/>
          <w:kern w:val="0"/>
          <w:sz w:val="32"/>
          <w:szCs w:val="32"/>
          <w:highlight w:val="none"/>
        </w:rPr>
        <w:t>万元，与上年相比，增加</w:t>
      </w:r>
      <w:r>
        <w:rPr>
          <w:rFonts w:ascii="仿宋_GB2312" w:hAnsi="Times New Roman" w:eastAsia="仿宋_GB2312" w:cs="仿宋_GB2312"/>
          <w:kern w:val="0"/>
          <w:sz w:val="32"/>
          <w:szCs w:val="32"/>
          <w:highlight w:val="none"/>
        </w:rPr>
        <w:t>2504.90</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131.83%</w:t>
      </w:r>
      <w:r>
        <w:rPr>
          <w:rFonts w:hint="eastAsia" w:ascii="仿宋_GB2312" w:hAnsi="Times New Roman" w:eastAsia="仿宋_GB2312" w:cs="仿宋_GB2312"/>
          <w:kern w:val="0"/>
          <w:sz w:val="32"/>
          <w:szCs w:val="32"/>
          <w:highlight w:val="none"/>
        </w:rPr>
        <w:t>，主要原因是：</w:t>
      </w:r>
      <w:r>
        <w:rPr>
          <w:rFonts w:hint="eastAsia" w:ascii="仿宋_GB2312" w:hAnsi="仿宋_GB2312" w:eastAsia="仿宋_GB2312"/>
          <w:kern w:val="0"/>
          <w:sz w:val="32"/>
          <w:szCs w:val="24"/>
          <w:highlight w:val="none"/>
        </w:rPr>
        <w:t>人员增加，社保基数调整</w:t>
      </w:r>
      <w:r>
        <w:rPr>
          <w:rFonts w:hint="eastAsia" w:ascii="仿宋_GB2312" w:hAnsi="仿宋_GB2312" w:eastAsia="仿宋_GB2312"/>
          <w:kern w:val="0"/>
          <w:sz w:val="32"/>
          <w:szCs w:val="24"/>
          <w:highlight w:val="none"/>
          <w:lang w:eastAsia="zh-CN"/>
        </w:rPr>
        <w:t>、</w:t>
      </w:r>
      <w:r>
        <w:rPr>
          <w:rFonts w:hint="eastAsia" w:ascii="仿宋_GB2312" w:hAnsi="仿宋_GB2312" w:eastAsia="仿宋_GB2312"/>
          <w:kern w:val="0"/>
          <w:sz w:val="32"/>
          <w:szCs w:val="24"/>
          <w:highlight w:val="none"/>
        </w:rPr>
        <w:t>疫情常态</w:t>
      </w:r>
      <w:r>
        <w:rPr>
          <w:rFonts w:hint="eastAsia" w:ascii="仿宋_GB2312" w:hAnsi="仿宋_GB2312" w:eastAsia="仿宋_GB2312"/>
          <w:kern w:val="0"/>
          <w:sz w:val="32"/>
          <w:szCs w:val="24"/>
          <w:highlight w:val="none"/>
          <w:lang w:eastAsia="zh-CN"/>
        </w:rPr>
        <w:t>物资</w:t>
      </w:r>
      <w:r>
        <w:rPr>
          <w:rFonts w:hint="eastAsia" w:ascii="仿宋_GB2312" w:hAnsi="仿宋_GB2312" w:eastAsia="仿宋_GB2312"/>
          <w:kern w:val="0"/>
          <w:sz w:val="32"/>
          <w:szCs w:val="24"/>
          <w:highlight w:val="none"/>
        </w:rPr>
        <w:t>费用增加</w:t>
      </w:r>
      <w:r>
        <w:rPr>
          <w:rFonts w:hint="eastAsia" w:ascii="仿宋_GB2312" w:hAnsi="Times New Roman" w:eastAsia="仿宋_GB2312" w:cs="仿宋_GB2312"/>
          <w:kern w:val="0"/>
          <w:sz w:val="32"/>
          <w:szCs w:val="32"/>
          <w:highlight w:val="none"/>
        </w:rPr>
        <w:t>。本年支出</w:t>
      </w:r>
      <w:r>
        <w:rPr>
          <w:rFonts w:ascii="仿宋_GB2312" w:hAnsi="Times New Roman" w:eastAsia="仿宋_GB2312" w:cs="仿宋_GB2312"/>
          <w:kern w:val="0"/>
          <w:sz w:val="32"/>
          <w:szCs w:val="32"/>
          <w:highlight w:val="none"/>
        </w:rPr>
        <w:t>4429.91</w:t>
      </w:r>
      <w:r>
        <w:rPr>
          <w:rFonts w:hint="eastAsia" w:ascii="仿宋_GB2312" w:hAnsi="Times New Roman" w:eastAsia="仿宋_GB2312" w:cs="仿宋_GB2312"/>
          <w:kern w:val="0"/>
          <w:sz w:val="32"/>
          <w:szCs w:val="32"/>
          <w:highlight w:val="none"/>
        </w:rPr>
        <w:t>万元，与上年相比，增加</w:t>
      </w:r>
      <w:r>
        <w:rPr>
          <w:rFonts w:ascii="仿宋_GB2312" w:hAnsi="Times New Roman" w:eastAsia="仿宋_GB2312" w:cs="仿宋_GB2312"/>
          <w:kern w:val="0"/>
          <w:sz w:val="32"/>
          <w:szCs w:val="32"/>
          <w:highlight w:val="none"/>
        </w:rPr>
        <w:t>2552.</w:t>
      </w:r>
      <w:r>
        <w:rPr>
          <w:rFonts w:hint="eastAsia" w:ascii="仿宋_GB2312" w:hAnsi="Times New Roman" w:eastAsia="仿宋_GB2312" w:cs="仿宋_GB2312"/>
          <w:kern w:val="0"/>
          <w:sz w:val="32"/>
          <w:szCs w:val="32"/>
          <w:highlight w:val="none"/>
          <w:lang w:val="en-US" w:eastAsia="zh-CN"/>
        </w:rPr>
        <w:t>95</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136.02%</w:t>
      </w:r>
      <w:r>
        <w:rPr>
          <w:rFonts w:hint="eastAsia" w:ascii="仿宋_GB2312" w:hAnsi="Times New Roman" w:eastAsia="仿宋_GB2312" w:cs="仿宋_GB2312"/>
          <w:kern w:val="0"/>
          <w:sz w:val="32"/>
          <w:szCs w:val="32"/>
          <w:highlight w:val="none"/>
        </w:rPr>
        <w:t>，主要原因是：</w:t>
      </w:r>
      <w:r>
        <w:rPr>
          <w:rFonts w:hint="eastAsia" w:ascii="仿宋_GB2312" w:hAnsi="仿宋_GB2312" w:eastAsia="仿宋_GB2312"/>
          <w:kern w:val="0"/>
          <w:sz w:val="32"/>
          <w:szCs w:val="24"/>
          <w:highlight w:val="none"/>
        </w:rPr>
        <w:t>人员增加，社保基数调整</w:t>
      </w:r>
      <w:r>
        <w:rPr>
          <w:rFonts w:hint="eastAsia" w:ascii="仿宋_GB2312" w:hAnsi="仿宋_GB2312" w:eastAsia="仿宋_GB2312"/>
          <w:kern w:val="0"/>
          <w:sz w:val="32"/>
          <w:szCs w:val="24"/>
          <w:highlight w:val="none"/>
          <w:lang w:eastAsia="zh-CN"/>
        </w:rPr>
        <w:t>、</w:t>
      </w:r>
      <w:r>
        <w:rPr>
          <w:rFonts w:hint="eastAsia" w:ascii="仿宋_GB2312" w:hAnsi="仿宋_GB2312" w:eastAsia="仿宋_GB2312"/>
          <w:kern w:val="0"/>
          <w:sz w:val="32"/>
          <w:szCs w:val="24"/>
          <w:highlight w:val="none"/>
        </w:rPr>
        <w:t>疫情常态</w:t>
      </w:r>
      <w:r>
        <w:rPr>
          <w:rFonts w:hint="eastAsia" w:ascii="仿宋_GB2312" w:hAnsi="仿宋_GB2312" w:eastAsia="仿宋_GB2312"/>
          <w:kern w:val="0"/>
          <w:sz w:val="32"/>
          <w:szCs w:val="24"/>
          <w:highlight w:val="none"/>
          <w:lang w:eastAsia="zh-CN"/>
        </w:rPr>
        <w:t>物资</w:t>
      </w:r>
      <w:r>
        <w:rPr>
          <w:rFonts w:hint="eastAsia" w:ascii="仿宋_GB2312" w:hAnsi="仿宋_GB2312" w:eastAsia="仿宋_GB2312"/>
          <w:kern w:val="0"/>
          <w:sz w:val="32"/>
          <w:szCs w:val="24"/>
          <w:highlight w:val="none"/>
        </w:rPr>
        <w:t>费用增加</w:t>
      </w:r>
      <w:r>
        <w:rPr>
          <w:rFonts w:hint="eastAsia" w:ascii="仿宋_GB2312" w:hAnsi="Times New Roman" w:eastAsia="仿宋_GB2312" w:cs="仿宋_GB2312"/>
          <w:kern w:val="0"/>
          <w:sz w:val="32"/>
          <w:szCs w:val="32"/>
          <w:highlight w:val="none"/>
        </w:rPr>
        <w:t>。</w:t>
      </w:r>
    </w:p>
    <w:p>
      <w:pPr>
        <w:autoSpaceDE w:val="0"/>
        <w:autoSpaceDN w:val="0"/>
        <w:adjustRightInd w:val="0"/>
        <w:spacing w:line="360" w:lineRule="auto"/>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lang w:val="zh-CN"/>
        </w:rPr>
        <w:t>二、收入决算情况说明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年度本年收入</w:t>
      </w:r>
      <w:r>
        <w:rPr>
          <w:rFonts w:ascii="仿宋_GB2312" w:hAnsi="Times New Roman" w:eastAsia="仿宋_GB2312" w:cs="仿宋_GB2312"/>
          <w:kern w:val="0"/>
          <w:sz w:val="32"/>
          <w:szCs w:val="32"/>
          <w:highlight w:val="none"/>
        </w:rPr>
        <w:t>4404.97</w:t>
      </w:r>
      <w:r>
        <w:rPr>
          <w:rFonts w:hint="eastAsia" w:ascii="仿宋_GB2312" w:hAnsi="Times New Roman" w:eastAsia="仿宋_GB2312" w:cs="仿宋_GB2312"/>
          <w:kern w:val="0"/>
          <w:sz w:val="32"/>
          <w:szCs w:val="32"/>
          <w:highlight w:val="none"/>
        </w:rPr>
        <w:t>万元，其中：财政拨款收入</w:t>
      </w:r>
      <w:r>
        <w:rPr>
          <w:rFonts w:ascii="仿宋_GB2312" w:hAnsi="Times New Roman" w:eastAsia="仿宋_GB2312" w:cs="仿宋_GB2312"/>
          <w:kern w:val="0"/>
          <w:sz w:val="32"/>
          <w:szCs w:val="32"/>
          <w:highlight w:val="none"/>
        </w:rPr>
        <w:t>2328.72</w:t>
      </w:r>
      <w:r>
        <w:rPr>
          <w:rFonts w:hint="eastAsia" w:ascii="仿宋_GB2312" w:hAnsi="Times New Roman" w:eastAsia="仿宋_GB2312" w:cs="仿宋_GB2312"/>
          <w:kern w:val="0"/>
          <w:sz w:val="32"/>
          <w:szCs w:val="32"/>
          <w:highlight w:val="none"/>
        </w:rPr>
        <w:t>万元，占</w:t>
      </w:r>
      <w:r>
        <w:rPr>
          <w:rFonts w:ascii="仿宋_GB2312" w:hAnsi="仿宋_GB2312" w:eastAsia="仿宋_GB2312"/>
          <w:kern w:val="0"/>
          <w:sz w:val="32"/>
          <w:szCs w:val="24"/>
          <w:highlight w:val="none"/>
        </w:rPr>
        <w:t>52.87</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；上级补助收入</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；事业收入</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；经营收入</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；附属单位上缴收入</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；其他收入</w:t>
      </w:r>
      <w:r>
        <w:rPr>
          <w:rFonts w:ascii="仿宋_GB2312" w:hAnsi="Times New Roman" w:eastAsia="仿宋_GB2312" w:cs="仿宋_GB2312"/>
          <w:kern w:val="0"/>
          <w:sz w:val="32"/>
          <w:szCs w:val="32"/>
          <w:highlight w:val="none"/>
        </w:rPr>
        <w:t>2076.25</w:t>
      </w:r>
      <w:r>
        <w:rPr>
          <w:rFonts w:hint="eastAsia" w:ascii="仿宋_GB2312" w:hAnsi="Times New Roman" w:eastAsia="仿宋_GB2312" w:cs="仿宋_GB2312"/>
          <w:kern w:val="0"/>
          <w:sz w:val="32"/>
          <w:szCs w:val="32"/>
          <w:highlight w:val="none"/>
        </w:rPr>
        <w:t>万元，占</w:t>
      </w:r>
      <w:r>
        <w:rPr>
          <w:rFonts w:ascii="仿宋_GB2312" w:hAnsi="仿宋_GB2312" w:eastAsia="仿宋_GB2312"/>
          <w:kern w:val="0"/>
          <w:sz w:val="32"/>
          <w:szCs w:val="24"/>
          <w:highlight w:val="none"/>
        </w:rPr>
        <w:t>47.13</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w:t>
      </w:r>
    </w:p>
    <w:p>
      <w:pPr>
        <w:autoSpaceDE w:val="0"/>
        <w:autoSpaceDN w:val="0"/>
        <w:adjustRightInd w:val="0"/>
        <w:spacing w:line="360" w:lineRule="auto"/>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lang w:val="zh-CN"/>
        </w:rPr>
        <w:t>三、支出决算情况说明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年度本年支出</w:t>
      </w:r>
      <w:r>
        <w:rPr>
          <w:rFonts w:ascii="仿宋_GB2312" w:hAnsi="Times New Roman" w:eastAsia="仿宋_GB2312" w:cs="仿宋_GB2312"/>
          <w:kern w:val="0"/>
          <w:sz w:val="32"/>
          <w:szCs w:val="32"/>
          <w:highlight w:val="none"/>
        </w:rPr>
        <w:t>4429.91</w:t>
      </w:r>
      <w:r>
        <w:rPr>
          <w:rFonts w:hint="eastAsia" w:ascii="仿宋_GB2312" w:hAnsi="Times New Roman" w:eastAsia="仿宋_GB2312" w:cs="仿宋_GB2312"/>
          <w:kern w:val="0"/>
          <w:sz w:val="32"/>
          <w:szCs w:val="32"/>
          <w:highlight w:val="none"/>
        </w:rPr>
        <w:t>万元，其中：基本支出</w:t>
      </w:r>
      <w:r>
        <w:rPr>
          <w:rFonts w:ascii="仿宋_GB2312" w:hAnsi="Times New Roman" w:eastAsia="仿宋_GB2312" w:cs="仿宋_GB2312"/>
          <w:kern w:val="0"/>
          <w:sz w:val="32"/>
          <w:szCs w:val="32"/>
          <w:highlight w:val="none"/>
        </w:rPr>
        <w:t>1558.81</w:t>
      </w:r>
      <w:r>
        <w:rPr>
          <w:rFonts w:hint="eastAsia" w:ascii="仿宋_GB2312" w:hAnsi="Times New Roman" w:eastAsia="仿宋_GB2312" w:cs="仿宋_GB2312"/>
          <w:kern w:val="0"/>
          <w:sz w:val="32"/>
          <w:szCs w:val="32"/>
          <w:highlight w:val="none"/>
        </w:rPr>
        <w:t>万元，占</w:t>
      </w:r>
      <w:r>
        <w:rPr>
          <w:rFonts w:ascii="仿宋_GB2312" w:hAnsi="仿宋_GB2312" w:eastAsia="仿宋_GB2312"/>
          <w:kern w:val="0"/>
          <w:sz w:val="32"/>
          <w:szCs w:val="24"/>
          <w:highlight w:val="none"/>
        </w:rPr>
        <w:t>35.19</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；项目支出</w:t>
      </w:r>
      <w:r>
        <w:rPr>
          <w:rFonts w:ascii="仿宋_GB2312" w:hAnsi="Times New Roman" w:eastAsia="仿宋_GB2312" w:cs="仿宋_GB2312"/>
          <w:kern w:val="0"/>
          <w:sz w:val="32"/>
          <w:szCs w:val="32"/>
          <w:highlight w:val="none"/>
        </w:rPr>
        <w:t>2871.10</w:t>
      </w:r>
      <w:r>
        <w:rPr>
          <w:rFonts w:hint="eastAsia" w:ascii="仿宋_GB2312" w:hAnsi="Times New Roman" w:eastAsia="仿宋_GB2312" w:cs="仿宋_GB2312"/>
          <w:kern w:val="0"/>
          <w:sz w:val="32"/>
          <w:szCs w:val="32"/>
          <w:highlight w:val="none"/>
        </w:rPr>
        <w:t>万元，占</w:t>
      </w:r>
      <w:r>
        <w:rPr>
          <w:rFonts w:ascii="仿宋_GB2312" w:hAnsi="仿宋_GB2312" w:eastAsia="仿宋_GB2312"/>
          <w:kern w:val="0"/>
          <w:sz w:val="32"/>
          <w:szCs w:val="24"/>
          <w:highlight w:val="none"/>
        </w:rPr>
        <w:t>64.81</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；上缴上级支出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；经营支出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；对附属单位补助支出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四、财政拨款收入支出决算总体情况说明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年度财政拨款收入</w:t>
      </w:r>
      <w:r>
        <w:rPr>
          <w:rFonts w:ascii="仿宋_GB2312" w:hAnsi="Times New Roman" w:eastAsia="仿宋_GB2312" w:cs="仿宋_GB2312"/>
          <w:kern w:val="0"/>
          <w:sz w:val="32"/>
          <w:szCs w:val="32"/>
          <w:highlight w:val="none"/>
        </w:rPr>
        <w:t>2328.72</w:t>
      </w:r>
      <w:r>
        <w:rPr>
          <w:rFonts w:hint="eastAsia" w:ascii="仿宋_GB2312" w:hAnsi="Times New Roman" w:eastAsia="仿宋_GB2312" w:cs="仿宋_GB2312"/>
          <w:kern w:val="0"/>
          <w:sz w:val="32"/>
          <w:szCs w:val="32"/>
          <w:highlight w:val="none"/>
        </w:rPr>
        <w:t>万元，与上年相比，增加</w:t>
      </w:r>
      <w:r>
        <w:rPr>
          <w:rFonts w:ascii="仿宋_GB2312" w:hAnsi="Times New Roman" w:eastAsia="仿宋_GB2312" w:cs="仿宋_GB2312"/>
          <w:kern w:val="0"/>
          <w:sz w:val="32"/>
          <w:szCs w:val="32"/>
          <w:highlight w:val="none"/>
        </w:rPr>
        <w:t>454.98</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24.28%</w:t>
      </w:r>
      <w:r>
        <w:rPr>
          <w:rFonts w:hint="eastAsia" w:ascii="仿宋_GB2312" w:hAnsi="Times New Roman" w:eastAsia="仿宋_GB2312" w:cs="仿宋_GB2312"/>
          <w:kern w:val="0"/>
          <w:sz w:val="32"/>
          <w:szCs w:val="32"/>
          <w:highlight w:val="none"/>
        </w:rPr>
        <w:t>，主要原因是：</w:t>
      </w:r>
      <w:r>
        <w:rPr>
          <w:rFonts w:hint="eastAsia" w:ascii="仿宋_GB2312" w:hAnsi="仿宋_GB2312" w:eastAsia="仿宋_GB2312"/>
          <w:kern w:val="0"/>
          <w:sz w:val="32"/>
          <w:szCs w:val="24"/>
          <w:highlight w:val="none"/>
        </w:rPr>
        <w:t>人员增加，社保基数调整</w:t>
      </w:r>
      <w:r>
        <w:rPr>
          <w:rFonts w:hint="eastAsia" w:ascii="仿宋_GB2312" w:hAnsi="仿宋_GB2312" w:eastAsia="仿宋_GB2312"/>
          <w:kern w:val="0"/>
          <w:sz w:val="32"/>
          <w:szCs w:val="24"/>
          <w:highlight w:val="none"/>
          <w:lang w:eastAsia="zh-CN"/>
        </w:rPr>
        <w:t>、</w:t>
      </w:r>
      <w:r>
        <w:rPr>
          <w:rFonts w:hint="eastAsia" w:ascii="仿宋_GB2312" w:hAnsi="仿宋_GB2312" w:eastAsia="仿宋_GB2312"/>
          <w:kern w:val="0"/>
          <w:sz w:val="32"/>
          <w:szCs w:val="24"/>
          <w:highlight w:val="none"/>
        </w:rPr>
        <w:t>疫情常态</w:t>
      </w:r>
      <w:r>
        <w:rPr>
          <w:rFonts w:hint="eastAsia" w:ascii="仿宋_GB2312" w:hAnsi="仿宋_GB2312" w:eastAsia="仿宋_GB2312"/>
          <w:kern w:val="0"/>
          <w:sz w:val="32"/>
          <w:szCs w:val="24"/>
          <w:highlight w:val="none"/>
          <w:lang w:eastAsia="zh-CN"/>
        </w:rPr>
        <w:t>物资</w:t>
      </w:r>
      <w:r>
        <w:rPr>
          <w:rFonts w:hint="eastAsia" w:ascii="仿宋_GB2312" w:hAnsi="仿宋_GB2312" w:eastAsia="仿宋_GB2312"/>
          <w:kern w:val="0"/>
          <w:sz w:val="32"/>
          <w:szCs w:val="24"/>
          <w:highlight w:val="none"/>
        </w:rPr>
        <w:t>费用增加</w:t>
      </w:r>
      <w:r>
        <w:rPr>
          <w:rFonts w:hint="eastAsia" w:ascii="仿宋_GB2312" w:hAnsi="Times New Roman" w:eastAsia="仿宋_GB2312" w:cs="仿宋_GB2312"/>
          <w:kern w:val="0"/>
          <w:sz w:val="32"/>
          <w:szCs w:val="32"/>
          <w:highlight w:val="none"/>
        </w:rPr>
        <w:t>。财政拨款支出</w:t>
      </w:r>
      <w:r>
        <w:rPr>
          <w:rFonts w:ascii="仿宋_GB2312" w:hAnsi="Times New Roman" w:eastAsia="仿宋_GB2312" w:cs="仿宋_GB2312"/>
          <w:kern w:val="0"/>
          <w:sz w:val="32"/>
          <w:szCs w:val="32"/>
          <w:highlight w:val="none"/>
        </w:rPr>
        <w:t>2352.06</w:t>
      </w:r>
      <w:r>
        <w:rPr>
          <w:rFonts w:hint="eastAsia" w:ascii="仿宋_GB2312" w:hAnsi="Times New Roman" w:eastAsia="仿宋_GB2312" w:cs="仿宋_GB2312"/>
          <w:kern w:val="0"/>
          <w:sz w:val="32"/>
          <w:szCs w:val="32"/>
          <w:highlight w:val="none"/>
        </w:rPr>
        <w:t>万元，与上年相比，增加</w:t>
      </w:r>
      <w:r>
        <w:rPr>
          <w:rFonts w:ascii="仿宋_GB2312" w:hAnsi="仿宋_GB2312" w:eastAsia="仿宋_GB2312"/>
          <w:kern w:val="0"/>
          <w:sz w:val="32"/>
          <w:szCs w:val="24"/>
          <w:highlight w:val="none"/>
        </w:rPr>
        <w:t>498.12</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26.87%</w:t>
      </w:r>
      <w:r>
        <w:rPr>
          <w:rFonts w:hint="eastAsia" w:ascii="仿宋_GB2312" w:hAnsi="Times New Roman" w:eastAsia="仿宋_GB2312" w:cs="仿宋_GB2312"/>
          <w:kern w:val="0"/>
          <w:sz w:val="32"/>
          <w:szCs w:val="32"/>
          <w:highlight w:val="none"/>
        </w:rPr>
        <w:t>，主要原因是：</w:t>
      </w:r>
      <w:r>
        <w:rPr>
          <w:rFonts w:hint="eastAsia" w:ascii="仿宋_GB2312" w:hAnsi="仿宋_GB2312" w:eastAsia="仿宋_GB2312"/>
          <w:kern w:val="0"/>
          <w:sz w:val="32"/>
          <w:szCs w:val="24"/>
          <w:highlight w:val="none"/>
        </w:rPr>
        <w:t>人员增加，社保基数调整</w:t>
      </w:r>
      <w:r>
        <w:rPr>
          <w:rFonts w:hint="eastAsia" w:ascii="仿宋_GB2312" w:hAnsi="仿宋_GB2312" w:eastAsia="仿宋_GB2312"/>
          <w:kern w:val="0"/>
          <w:sz w:val="32"/>
          <w:szCs w:val="24"/>
          <w:highlight w:val="none"/>
          <w:lang w:eastAsia="zh-CN"/>
        </w:rPr>
        <w:t>、</w:t>
      </w:r>
      <w:r>
        <w:rPr>
          <w:rFonts w:hint="eastAsia" w:ascii="仿宋_GB2312" w:hAnsi="仿宋_GB2312" w:eastAsia="仿宋_GB2312"/>
          <w:kern w:val="0"/>
          <w:sz w:val="32"/>
          <w:szCs w:val="24"/>
          <w:highlight w:val="none"/>
        </w:rPr>
        <w:t>疫情常态</w:t>
      </w:r>
      <w:r>
        <w:rPr>
          <w:rFonts w:hint="eastAsia" w:ascii="仿宋_GB2312" w:hAnsi="仿宋_GB2312" w:eastAsia="仿宋_GB2312"/>
          <w:kern w:val="0"/>
          <w:sz w:val="32"/>
          <w:szCs w:val="24"/>
          <w:highlight w:val="none"/>
          <w:lang w:eastAsia="zh-CN"/>
        </w:rPr>
        <w:t>物资</w:t>
      </w:r>
      <w:r>
        <w:rPr>
          <w:rFonts w:hint="eastAsia" w:ascii="仿宋_GB2312" w:hAnsi="仿宋_GB2312" w:eastAsia="仿宋_GB2312"/>
          <w:kern w:val="0"/>
          <w:sz w:val="32"/>
          <w:szCs w:val="24"/>
          <w:highlight w:val="none"/>
        </w:rPr>
        <w:t>费用增加</w:t>
      </w:r>
      <w:r>
        <w:rPr>
          <w:rFonts w:hint="eastAsia" w:ascii="仿宋_GB2312" w:hAnsi="Times New Roman" w:eastAsia="仿宋_GB2312" w:cs="仿宋_GB2312"/>
          <w:kern w:val="0"/>
          <w:sz w:val="32"/>
          <w:szCs w:val="32"/>
          <w:highlight w:val="none"/>
        </w:rPr>
        <w:t>。</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与年初预算数相比情况：财政拨款收入年初预算数</w:t>
      </w:r>
      <w:r>
        <w:rPr>
          <w:rFonts w:ascii="仿宋_GB2312" w:hAnsi="Times New Roman" w:eastAsia="仿宋_GB2312" w:cs="仿宋_GB2312"/>
          <w:kern w:val="0"/>
          <w:sz w:val="32"/>
          <w:szCs w:val="32"/>
          <w:highlight w:val="none"/>
        </w:rPr>
        <w:t>3385.94</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2328.72</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-31.22%</w:t>
      </w:r>
      <w:r>
        <w:rPr>
          <w:rFonts w:hint="eastAsia" w:ascii="仿宋_GB2312" w:hAnsi="Times New Roman" w:eastAsia="仿宋_GB2312" w:cs="仿宋_GB2312"/>
          <w:kern w:val="0"/>
          <w:sz w:val="32"/>
          <w:szCs w:val="32"/>
          <w:highlight w:val="none"/>
        </w:rPr>
        <w:t>，主要原因是：</w:t>
      </w:r>
      <w:r>
        <w:rPr>
          <w:rFonts w:hint="eastAsia" w:ascii="仿宋_GB2312" w:hAnsi="Times New Roman" w:eastAsia="仿宋_GB2312" w:cs="仿宋_GB2312"/>
          <w:kern w:val="0"/>
          <w:sz w:val="32"/>
          <w:szCs w:val="32"/>
          <w:highlight w:val="none"/>
          <w:lang w:eastAsia="zh-CN"/>
        </w:rPr>
        <w:t>疫情情况下，公用类办公用品方面支出减少</w:t>
      </w:r>
      <w:r>
        <w:rPr>
          <w:rFonts w:hint="eastAsia" w:ascii="仿宋_GB2312" w:hAnsi="Times New Roman" w:eastAsia="仿宋_GB2312" w:cs="仿宋_GB2312"/>
          <w:kern w:val="0"/>
          <w:sz w:val="32"/>
          <w:szCs w:val="32"/>
          <w:highlight w:val="none"/>
        </w:rPr>
        <w:t>。财政拨款支出年初预算数</w:t>
      </w:r>
      <w:r>
        <w:rPr>
          <w:rFonts w:ascii="仿宋_GB2312" w:hAnsi="Times New Roman" w:eastAsia="仿宋_GB2312" w:cs="仿宋_GB2312"/>
          <w:kern w:val="0"/>
          <w:sz w:val="32"/>
          <w:szCs w:val="32"/>
          <w:highlight w:val="none"/>
        </w:rPr>
        <w:t>3385.94</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2352.06</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-30.53%</w:t>
      </w:r>
      <w:r>
        <w:rPr>
          <w:rFonts w:hint="eastAsia"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lang w:eastAsia="zh-CN"/>
        </w:rPr>
        <w:t>疫情情况下，公用类办公用品方面支出减少</w:t>
      </w:r>
      <w:r>
        <w:rPr>
          <w:rFonts w:hint="eastAsia" w:ascii="仿宋_GB2312" w:hAnsi="Times New Roman" w:eastAsia="仿宋_GB2312" w:cs="仿宋_GB2312"/>
          <w:kern w:val="0"/>
          <w:sz w:val="32"/>
          <w:szCs w:val="32"/>
          <w:highlight w:val="none"/>
        </w:rPr>
        <w:t>。</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五、一般公共预算财政拨款支出决算情况说明</w:t>
      </w:r>
    </w:p>
    <w:p>
      <w:pPr>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年度一般公共预算财政拨款支出</w:t>
      </w:r>
      <w:r>
        <w:rPr>
          <w:rFonts w:ascii="仿宋_GB2312" w:hAnsi="Times New Roman" w:eastAsia="仿宋_GB2312" w:cs="仿宋_GB2312"/>
          <w:kern w:val="0"/>
          <w:sz w:val="32"/>
          <w:szCs w:val="32"/>
          <w:highlight w:val="none"/>
        </w:rPr>
        <w:t>2352.06</w:t>
      </w:r>
      <w:r>
        <w:rPr>
          <w:rFonts w:hint="eastAsia" w:ascii="仿宋_GB2312" w:hAnsi="Times New Roman" w:eastAsia="仿宋_GB2312" w:cs="仿宋_GB2312"/>
          <w:kern w:val="0"/>
          <w:sz w:val="32"/>
          <w:szCs w:val="32"/>
          <w:highlight w:val="none"/>
        </w:rPr>
        <w:t>万元。按功能分类科目项级科目公开，其中：</w:t>
      </w:r>
      <w:r>
        <w:rPr>
          <w:rFonts w:ascii="Times New Roman" w:hAnsi="Times New Roman" w:eastAsia="仿宋_GB2312"/>
          <w:kern w:val="0"/>
          <w:sz w:val="32"/>
          <w:szCs w:val="32"/>
          <w:highlight w:val="none"/>
        </w:rPr>
        <w:t xml:space="preserve"> </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2010301</w:t>
      </w:r>
      <w:r>
        <w:rPr>
          <w:rFonts w:hint="eastAsia" w:ascii="仿宋_GB2312" w:hAnsi="Times New Roman" w:eastAsia="仿宋_GB2312" w:cs="仿宋_GB2312"/>
          <w:kern w:val="0"/>
          <w:sz w:val="32"/>
          <w:szCs w:val="32"/>
          <w:highlight w:val="none"/>
        </w:rPr>
        <w:t>行政运行</w:t>
      </w:r>
      <w:r>
        <w:rPr>
          <w:rFonts w:ascii="仿宋_GB2312" w:hAnsi="Times New Roman" w:eastAsia="仿宋_GB2312" w:cs="仿宋_GB2312"/>
          <w:kern w:val="0"/>
          <w:sz w:val="32"/>
          <w:szCs w:val="32"/>
          <w:highlight w:val="none"/>
        </w:rPr>
        <w:t>1,366.63</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2010399</w:t>
      </w:r>
      <w:r>
        <w:rPr>
          <w:rFonts w:hint="eastAsia" w:ascii="仿宋_GB2312" w:hAnsi="Times New Roman" w:eastAsia="仿宋_GB2312" w:cs="仿宋_GB2312"/>
          <w:kern w:val="0"/>
          <w:sz w:val="32"/>
          <w:szCs w:val="32"/>
          <w:highlight w:val="none"/>
        </w:rPr>
        <w:t>其他政府办公厅（室）及相关机构事务支出</w:t>
      </w:r>
      <w:r>
        <w:rPr>
          <w:rFonts w:ascii="仿宋_GB2312" w:hAnsi="Times New Roman" w:eastAsia="仿宋_GB2312" w:cs="仿宋_GB2312"/>
          <w:kern w:val="0"/>
          <w:sz w:val="32"/>
          <w:szCs w:val="32"/>
          <w:highlight w:val="none"/>
        </w:rPr>
        <w:t>6.54</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b/>
          <w:kern w:val="0"/>
          <w:sz w:val="32"/>
          <w:szCs w:val="32"/>
          <w:highlight w:val="none"/>
        </w:rPr>
      </w:pPr>
      <w:r>
        <w:rPr>
          <w:rFonts w:ascii="仿宋_GB2312" w:hAnsi="Times New Roman" w:eastAsia="仿宋_GB2312" w:cs="仿宋_GB2312"/>
          <w:kern w:val="0"/>
          <w:sz w:val="32"/>
          <w:szCs w:val="32"/>
          <w:highlight w:val="none"/>
        </w:rPr>
        <w:t>2019999</w:t>
      </w:r>
      <w:r>
        <w:rPr>
          <w:rFonts w:hint="eastAsia" w:ascii="仿宋_GB2312" w:hAnsi="Times New Roman" w:eastAsia="仿宋_GB2312" w:cs="仿宋_GB2312"/>
          <w:kern w:val="0"/>
          <w:sz w:val="32"/>
          <w:szCs w:val="32"/>
          <w:highlight w:val="none"/>
        </w:rPr>
        <w:t>其他一般公共服务支出</w:t>
      </w:r>
      <w:r>
        <w:rPr>
          <w:rFonts w:ascii="仿宋_GB2312" w:hAnsi="Times New Roman" w:eastAsia="仿宋_GB2312" w:cs="仿宋_GB2312"/>
          <w:kern w:val="0"/>
          <w:sz w:val="32"/>
          <w:szCs w:val="32"/>
          <w:highlight w:val="none"/>
        </w:rPr>
        <w:t>24.86</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2049999</w:t>
      </w:r>
      <w:r>
        <w:rPr>
          <w:rFonts w:hint="eastAsia" w:ascii="仿宋_GB2312" w:hAnsi="Times New Roman" w:eastAsia="仿宋_GB2312" w:cs="仿宋_GB2312"/>
          <w:kern w:val="0"/>
          <w:sz w:val="32"/>
          <w:szCs w:val="32"/>
          <w:highlight w:val="none"/>
        </w:rPr>
        <w:t>其他公共安全支出</w:t>
      </w:r>
      <w:r>
        <w:rPr>
          <w:rFonts w:ascii="仿宋_GB2312" w:hAnsi="Times New Roman" w:eastAsia="仿宋_GB2312" w:cs="仿宋_GB2312"/>
          <w:kern w:val="0"/>
          <w:sz w:val="32"/>
          <w:szCs w:val="32"/>
          <w:highlight w:val="none"/>
        </w:rPr>
        <w:t>510.54</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2070199</w:t>
      </w:r>
      <w:r>
        <w:rPr>
          <w:rFonts w:hint="eastAsia" w:ascii="仿宋_GB2312" w:hAnsi="Times New Roman" w:eastAsia="仿宋_GB2312" w:cs="仿宋_GB2312"/>
          <w:kern w:val="0"/>
          <w:sz w:val="32"/>
          <w:szCs w:val="32"/>
          <w:highlight w:val="none"/>
        </w:rPr>
        <w:t>其他文化和旅游支出</w:t>
      </w:r>
      <w:r>
        <w:rPr>
          <w:rFonts w:ascii="仿宋_GB2312" w:hAnsi="Times New Roman" w:eastAsia="仿宋_GB2312" w:cs="仿宋_GB2312"/>
          <w:kern w:val="0"/>
          <w:sz w:val="32"/>
          <w:szCs w:val="32"/>
          <w:highlight w:val="none"/>
        </w:rPr>
        <w:t>4.92</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2080208</w:t>
      </w:r>
      <w:r>
        <w:rPr>
          <w:rFonts w:hint="eastAsia" w:ascii="仿宋_GB2312" w:hAnsi="Times New Roman" w:eastAsia="仿宋_GB2312" w:cs="仿宋_GB2312"/>
          <w:kern w:val="0"/>
          <w:sz w:val="32"/>
          <w:szCs w:val="32"/>
          <w:highlight w:val="none"/>
        </w:rPr>
        <w:t>基层政权建设和社区治理</w:t>
      </w:r>
      <w:r>
        <w:rPr>
          <w:rFonts w:ascii="仿宋_GB2312" w:hAnsi="Times New Roman" w:eastAsia="仿宋_GB2312" w:cs="仿宋_GB2312"/>
          <w:kern w:val="0"/>
          <w:sz w:val="32"/>
          <w:szCs w:val="32"/>
          <w:highlight w:val="none"/>
        </w:rPr>
        <w:t>306.43</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2080505</w:t>
      </w:r>
      <w:r>
        <w:rPr>
          <w:rFonts w:hint="eastAsia" w:ascii="仿宋_GB2312" w:hAnsi="Times New Roman" w:eastAsia="仿宋_GB2312" w:cs="仿宋_GB2312"/>
          <w:kern w:val="0"/>
          <w:sz w:val="32"/>
          <w:szCs w:val="32"/>
          <w:highlight w:val="none"/>
        </w:rPr>
        <w:t>机关事业单位基本养老保险缴费支出</w:t>
      </w:r>
      <w:r>
        <w:rPr>
          <w:rFonts w:ascii="仿宋_GB2312" w:hAnsi="Times New Roman" w:eastAsia="仿宋_GB2312" w:cs="仿宋_GB2312"/>
          <w:kern w:val="0"/>
          <w:sz w:val="32"/>
          <w:szCs w:val="32"/>
          <w:highlight w:val="none"/>
        </w:rPr>
        <w:t>82.14</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2100410</w:t>
      </w:r>
      <w:r>
        <w:rPr>
          <w:rFonts w:hint="eastAsia" w:ascii="仿宋_GB2312" w:hAnsi="Times New Roman" w:eastAsia="仿宋_GB2312" w:cs="仿宋_GB2312"/>
          <w:kern w:val="0"/>
          <w:sz w:val="32"/>
          <w:szCs w:val="32"/>
          <w:highlight w:val="none"/>
        </w:rPr>
        <w:t>突发公共卫生事件应急处理</w:t>
      </w:r>
      <w:r>
        <w:rPr>
          <w:rFonts w:ascii="仿宋_GB2312" w:hAnsi="Times New Roman" w:eastAsia="仿宋_GB2312" w:cs="仿宋_GB2312"/>
          <w:kern w:val="0"/>
          <w:sz w:val="32"/>
          <w:szCs w:val="32"/>
          <w:highlight w:val="none"/>
        </w:rPr>
        <w:t>50.00</w:t>
      </w:r>
      <w:r>
        <w:rPr>
          <w:rFonts w:hint="eastAsia" w:ascii="仿宋_GB2312" w:hAnsi="Times New Roman" w:eastAsia="仿宋_GB2312" w:cs="仿宋_GB2312"/>
          <w:kern w:val="0"/>
          <w:sz w:val="32"/>
          <w:szCs w:val="32"/>
          <w:highlight w:val="none"/>
        </w:rPr>
        <w:t>万元。</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六、一般公共预算财政拨款基本支出决算情况说明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年度一般公共预算财政拨款基本支出</w:t>
      </w:r>
      <w:r>
        <w:rPr>
          <w:rFonts w:ascii="仿宋_GB2312" w:hAnsi="Times New Roman" w:eastAsia="仿宋_GB2312" w:cs="仿宋_GB2312"/>
          <w:kern w:val="0"/>
          <w:sz w:val="32"/>
          <w:szCs w:val="32"/>
          <w:highlight w:val="none"/>
        </w:rPr>
        <w:t>1558.81</w:t>
      </w:r>
      <w:r>
        <w:rPr>
          <w:rFonts w:hint="eastAsia" w:ascii="仿宋_GB2312" w:hAnsi="Times New Roman" w:eastAsia="仿宋_GB2312" w:cs="仿宋_GB2312"/>
          <w:kern w:val="0"/>
          <w:sz w:val="32"/>
          <w:szCs w:val="32"/>
          <w:highlight w:val="none"/>
        </w:rPr>
        <w:t>万元，其中：</w:t>
      </w:r>
      <w:r>
        <w:rPr>
          <w:rFonts w:ascii="Times New Roman" w:hAnsi="Times New Roman" w:eastAsia="仿宋_GB2312"/>
          <w:kern w:val="0"/>
          <w:sz w:val="32"/>
          <w:szCs w:val="32"/>
          <w:highlight w:val="none"/>
        </w:rPr>
        <w:t xml:space="preserve"> </w:t>
      </w:r>
    </w:p>
    <w:p>
      <w:pPr>
        <w:shd w:val="clear" w:color="auto" w:fill="FFFFFF"/>
        <w:autoSpaceDE w:val="0"/>
        <w:autoSpaceDN w:val="0"/>
        <w:adjustRightInd w:val="0"/>
        <w:spacing w:line="360" w:lineRule="auto"/>
        <w:ind w:firstLine="640"/>
        <w:rPr>
          <w:rFonts w:cs="宋体"/>
          <w:b/>
          <w:color w:val="FF0000"/>
          <w:kern w:val="0"/>
          <w:sz w:val="40"/>
          <w:szCs w:val="32"/>
          <w:highlight w:val="none"/>
        </w:rPr>
      </w:pPr>
      <w:r>
        <w:rPr>
          <w:rFonts w:hint="eastAsia" w:ascii="仿宋_GB2312" w:hAnsi="Times New Roman" w:eastAsia="仿宋_GB2312" w:cs="仿宋_GB2312"/>
          <w:kern w:val="0"/>
          <w:sz w:val="32"/>
          <w:szCs w:val="32"/>
          <w:highlight w:val="none"/>
        </w:rPr>
        <w:t>人员经费</w:t>
      </w:r>
      <w:r>
        <w:rPr>
          <w:rFonts w:ascii="仿宋_GB2312" w:hAnsi="Times New Roman" w:eastAsia="仿宋_GB2312" w:cs="仿宋_GB2312"/>
          <w:kern w:val="0"/>
          <w:sz w:val="32"/>
          <w:szCs w:val="32"/>
          <w:highlight w:val="none"/>
        </w:rPr>
        <w:t>1501.60</w:t>
      </w:r>
      <w:r>
        <w:rPr>
          <w:rFonts w:hint="eastAsia" w:ascii="仿宋_GB2312" w:hAnsi="Times New Roman" w:eastAsia="仿宋_GB2312" w:cs="仿宋_GB2312"/>
          <w:kern w:val="0"/>
          <w:sz w:val="32"/>
          <w:szCs w:val="32"/>
          <w:highlight w:val="none"/>
        </w:rPr>
        <w:t>万元，包括：基本工资、津贴补贴、奖金、绩效工资、机关事业单位基本养老保险缴费、职工基本医疗保险缴费、公务员医疗补助缴费、其他社会保障缴费、住房公积金、</w:t>
      </w:r>
      <w:r>
        <w:rPr>
          <w:rFonts w:hint="eastAsia" w:ascii="仿宋_GB2312" w:hAnsi="Times New Roman" w:eastAsia="仿宋_GB2312" w:cs="仿宋_GB2312"/>
          <w:kern w:val="0"/>
          <w:sz w:val="32"/>
          <w:szCs w:val="32"/>
          <w:highlight w:val="none"/>
          <w:lang w:eastAsia="zh-CN"/>
        </w:rPr>
        <w:t>其他工资福利支出、生活补助、其他对个人和家庭的补助</w:t>
      </w:r>
      <w:r>
        <w:rPr>
          <w:rFonts w:hint="eastAsia" w:ascii="仿宋_GB2312" w:hAnsi="Times New Roman" w:eastAsia="仿宋_GB2312" w:cs="仿宋_GB2312"/>
          <w:kern w:val="0"/>
          <w:sz w:val="32"/>
          <w:szCs w:val="32"/>
          <w:highlight w:val="none"/>
        </w:rPr>
        <w:t>。</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公用经费</w:t>
      </w:r>
      <w:r>
        <w:rPr>
          <w:rFonts w:ascii="仿宋_GB2312" w:hAnsi="Times New Roman" w:eastAsia="仿宋_GB2312" w:cs="仿宋_GB2312"/>
          <w:kern w:val="0"/>
          <w:sz w:val="32"/>
          <w:szCs w:val="32"/>
          <w:highlight w:val="none"/>
        </w:rPr>
        <w:t>57.21</w:t>
      </w:r>
      <w:r>
        <w:rPr>
          <w:rFonts w:hint="eastAsia" w:ascii="仿宋_GB2312" w:hAnsi="Times New Roman" w:eastAsia="仿宋_GB2312" w:cs="仿宋_GB2312"/>
          <w:kern w:val="0"/>
          <w:sz w:val="32"/>
          <w:szCs w:val="32"/>
          <w:highlight w:val="none"/>
        </w:rPr>
        <w:t>万元，包括：办公费、</w:t>
      </w:r>
      <w:r>
        <w:rPr>
          <w:rFonts w:hint="eastAsia" w:ascii="仿宋_GB2312" w:hAnsi="Times New Roman" w:eastAsia="仿宋_GB2312" w:cs="仿宋_GB2312"/>
          <w:kern w:val="0"/>
          <w:sz w:val="32"/>
          <w:szCs w:val="32"/>
          <w:highlight w:val="none"/>
          <w:lang w:eastAsia="zh-CN"/>
        </w:rPr>
        <w:t>印刷费、手续费、</w:t>
      </w:r>
      <w:bookmarkStart w:id="0" w:name="_GoBack"/>
      <w:bookmarkEnd w:id="0"/>
      <w:r>
        <w:rPr>
          <w:rFonts w:hint="eastAsia" w:ascii="仿宋_GB2312" w:hAnsi="Times New Roman" w:eastAsia="仿宋_GB2312" w:cs="仿宋_GB2312"/>
          <w:kern w:val="0"/>
          <w:sz w:val="32"/>
          <w:szCs w:val="32"/>
          <w:highlight w:val="none"/>
          <w:lang w:eastAsia="zh-CN"/>
        </w:rPr>
        <w:t>水费、</w:t>
      </w:r>
      <w:r>
        <w:rPr>
          <w:rFonts w:hint="eastAsia" w:ascii="仿宋_GB2312" w:hAnsi="Times New Roman" w:eastAsia="仿宋_GB2312" w:cs="仿宋_GB2312"/>
          <w:kern w:val="0"/>
          <w:sz w:val="32"/>
          <w:szCs w:val="32"/>
          <w:highlight w:val="none"/>
        </w:rPr>
        <w:t>电费、邮电费、取暖费、维修（护）费、培训费、</w:t>
      </w:r>
      <w:r>
        <w:rPr>
          <w:rFonts w:hint="eastAsia" w:ascii="仿宋_GB2312" w:hAnsi="Times New Roman" w:eastAsia="仿宋_GB2312" w:cs="仿宋_GB2312"/>
          <w:kern w:val="0"/>
          <w:sz w:val="32"/>
          <w:szCs w:val="32"/>
          <w:highlight w:val="none"/>
          <w:lang w:eastAsia="zh-CN"/>
        </w:rPr>
        <w:t>劳务费、委托业务费、</w:t>
      </w:r>
      <w:r>
        <w:rPr>
          <w:rFonts w:hint="eastAsia" w:ascii="仿宋_GB2312" w:hAnsi="Times New Roman" w:eastAsia="仿宋_GB2312" w:cs="仿宋_GB2312"/>
          <w:kern w:val="0"/>
          <w:sz w:val="32"/>
          <w:szCs w:val="32"/>
          <w:highlight w:val="none"/>
        </w:rPr>
        <w:t>工会经费、</w:t>
      </w:r>
      <w:r>
        <w:rPr>
          <w:rFonts w:hint="eastAsia" w:ascii="仿宋_GB2312" w:hAnsi="Times New Roman" w:eastAsia="仿宋_GB2312" w:cs="仿宋_GB2312"/>
          <w:kern w:val="0"/>
          <w:sz w:val="32"/>
          <w:szCs w:val="32"/>
          <w:highlight w:val="none"/>
          <w:lang w:eastAsia="zh-CN"/>
        </w:rPr>
        <w:t>福利费、公务用车运行维护费、其他交通费用、</w:t>
      </w:r>
      <w:r>
        <w:rPr>
          <w:rFonts w:hint="eastAsia" w:ascii="仿宋_GB2312" w:hAnsi="Times New Roman" w:eastAsia="仿宋_GB2312" w:cs="仿宋_GB2312"/>
          <w:kern w:val="0"/>
          <w:sz w:val="32"/>
          <w:szCs w:val="32"/>
          <w:highlight w:val="none"/>
        </w:rPr>
        <w:t>其他商品和服务支出。</w:t>
      </w:r>
    </w:p>
    <w:p>
      <w:pPr>
        <w:autoSpaceDE w:val="0"/>
        <w:autoSpaceDN w:val="0"/>
        <w:adjustRightInd w:val="0"/>
        <w:spacing w:line="360" w:lineRule="auto"/>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lang w:val="zh-CN"/>
        </w:rPr>
        <w:t>七、一般公共预算财政拨款</w:t>
      </w:r>
      <w:r>
        <w:rPr>
          <w:rFonts w:ascii="Times New Roman" w:hAnsi="Times New Roman" w:eastAsia="黑体" w:cs="黑体"/>
          <w:kern w:val="0"/>
          <w:sz w:val="32"/>
          <w:szCs w:val="32"/>
          <w:highlight w:val="none"/>
        </w:rPr>
        <w:t>“</w:t>
      </w:r>
      <w:r>
        <w:rPr>
          <w:rFonts w:hint="eastAsia" w:ascii="黑体" w:hAnsi="Times New Roman" w:eastAsia="黑体" w:cs="黑体"/>
          <w:kern w:val="0"/>
          <w:sz w:val="32"/>
          <w:szCs w:val="32"/>
          <w:highlight w:val="none"/>
        </w:rPr>
        <w:t>三公</w:t>
      </w:r>
      <w:r>
        <w:rPr>
          <w:rFonts w:ascii="Times New Roman" w:hAnsi="Times New Roman" w:eastAsia="黑体" w:cs="黑体"/>
          <w:kern w:val="0"/>
          <w:sz w:val="32"/>
          <w:szCs w:val="32"/>
          <w:highlight w:val="none"/>
        </w:rPr>
        <w:t>”</w:t>
      </w:r>
      <w:r>
        <w:rPr>
          <w:rFonts w:hint="eastAsia" w:ascii="黑体" w:hAnsi="Times New Roman" w:eastAsia="黑体" w:cs="黑体"/>
          <w:sz w:val="32"/>
          <w:szCs w:val="32"/>
          <w:highlight w:val="none"/>
          <w:lang w:val="zh-CN"/>
        </w:rPr>
        <w:t>经费支出决算情况说明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年度一般公共预算</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三公</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经费支出决算</w:t>
      </w:r>
      <w:r>
        <w:rPr>
          <w:rFonts w:ascii="仿宋_GB2312" w:hAnsi="Times New Roman" w:eastAsia="仿宋_GB2312" w:cs="仿宋_GB2312"/>
          <w:kern w:val="0"/>
          <w:sz w:val="32"/>
          <w:szCs w:val="32"/>
          <w:highlight w:val="none"/>
        </w:rPr>
        <w:t>4.04</w:t>
      </w:r>
      <w:r>
        <w:rPr>
          <w:rFonts w:hint="eastAsia" w:ascii="仿宋_GB2312" w:hAnsi="Times New Roman" w:eastAsia="仿宋_GB2312" w:cs="仿宋_GB2312"/>
          <w:kern w:val="0"/>
          <w:sz w:val="32"/>
          <w:szCs w:val="32"/>
          <w:highlight w:val="none"/>
        </w:rPr>
        <w:t>万元，比上年</w:t>
      </w:r>
      <w:r>
        <w:rPr>
          <w:rFonts w:hint="eastAsia" w:ascii="仿宋_GB2312" w:hAnsi="Times New Roman" w:eastAsia="仿宋_GB2312" w:cs="仿宋_GB2312"/>
          <w:kern w:val="0"/>
          <w:sz w:val="32"/>
          <w:szCs w:val="32"/>
          <w:highlight w:val="none"/>
          <w:lang w:eastAsia="zh-CN"/>
        </w:rPr>
        <w:t>减少</w:t>
      </w:r>
      <w:r>
        <w:rPr>
          <w:rFonts w:ascii="仿宋_GB2312" w:hAnsi="Times New Roman" w:eastAsia="仿宋_GB2312" w:cs="仿宋_GB2312"/>
          <w:kern w:val="0"/>
          <w:sz w:val="32"/>
          <w:szCs w:val="32"/>
          <w:highlight w:val="none"/>
        </w:rPr>
        <w:t>0.27</w:t>
      </w:r>
      <w:r>
        <w:rPr>
          <w:rFonts w:hint="eastAsia" w:ascii="仿宋_GB2312" w:hAnsi="Times New Roman" w:eastAsia="仿宋_GB2312" w:cs="仿宋_GB2312"/>
          <w:kern w:val="0"/>
          <w:sz w:val="32"/>
          <w:szCs w:val="32"/>
          <w:highlight w:val="none"/>
        </w:rPr>
        <w:t>万元，</w:t>
      </w:r>
      <w:r>
        <w:rPr>
          <w:rFonts w:hint="eastAsia" w:ascii="仿宋_GB2312" w:hAnsi="Times New Roman" w:eastAsia="仿宋_GB2312" w:cs="仿宋_GB2312"/>
          <w:kern w:val="0"/>
          <w:sz w:val="32"/>
          <w:szCs w:val="32"/>
          <w:highlight w:val="none"/>
          <w:lang w:eastAsia="zh-CN"/>
        </w:rPr>
        <w:t>降低</w:t>
      </w:r>
      <w:r>
        <w:rPr>
          <w:rFonts w:ascii="仿宋_GB2312" w:hAnsi="Times New Roman" w:eastAsia="仿宋_GB2312" w:cs="仿宋_GB2312"/>
          <w:kern w:val="0"/>
          <w:sz w:val="32"/>
          <w:szCs w:val="32"/>
          <w:highlight w:val="none"/>
        </w:rPr>
        <w:t>6.26%</w:t>
      </w:r>
      <w:r>
        <w:rPr>
          <w:rFonts w:hint="eastAsia" w:ascii="仿宋_GB2312" w:hAnsi="Times New Roman" w:eastAsia="仿宋_GB2312" w:cs="仿宋_GB2312"/>
          <w:kern w:val="0"/>
          <w:sz w:val="32"/>
          <w:szCs w:val="32"/>
          <w:highlight w:val="none"/>
        </w:rPr>
        <w:t>，主要原因是：车辆维护费减少。其中：因公出国（境）费支出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，比上年增加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，主要原因是：本年单位无因公出国（境）费支出；公务用车购置及运行维护费支出</w:t>
      </w:r>
      <w:r>
        <w:rPr>
          <w:rFonts w:ascii="仿宋_GB2312" w:hAnsi="Times New Roman" w:eastAsia="仿宋_GB2312" w:cs="仿宋_GB2312"/>
          <w:kern w:val="0"/>
          <w:sz w:val="32"/>
          <w:szCs w:val="32"/>
          <w:highlight w:val="none"/>
        </w:rPr>
        <w:t>4.04</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100.00%</w:t>
      </w:r>
      <w:r>
        <w:rPr>
          <w:rFonts w:hint="eastAsia" w:ascii="仿宋_GB2312" w:hAnsi="Times New Roman" w:eastAsia="仿宋_GB2312" w:cs="仿宋_GB2312"/>
          <w:kern w:val="0"/>
          <w:sz w:val="32"/>
          <w:szCs w:val="32"/>
          <w:highlight w:val="none"/>
        </w:rPr>
        <w:t>，比上年减少</w:t>
      </w:r>
      <w:r>
        <w:rPr>
          <w:rFonts w:ascii="仿宋_GB2312" w:hAnsi="Times New Roman" w:eastAsia="仿宋_GB2312" w:cs="仿宋_GB2312"/>
          <w:kern w:val="0"/>
          <w:sz w:val="32"/>
          <w:szCs w:val="32"/>
          <w:highlight w:val="none"/>
        </w:rPr>
        <w:t>0.27</w:t>
      </w:r>
      <w:r>
        <w:rPr>
          <w:rFonts w:hint="eastAsia" w:ascii="仿宋_GB2312" w:hAnsi="Times New Roman" w:eastAsia="仿宋_GB2312" w:cs="仿宋_GB2312"/>
          <w:kern w:val="0"/>
          <w:sz w:val="32"/>
          <w:szCs w:val="32"/>
          <w:highlight w:val="none"/>
        </w:rPr>
        <w:t>万元，降低</w:t>
      </w:r>
      <w:r>
        <w:rPr>
          <w:rFonts w:ascii="仿宋_GB2312" w:hAnsi="Times New Roman" w:eastAsia="仿宋_GB2312" w:cs="仿宋_GB2312"/>
          <w:kern w:val="0"/>
          <w:sz w:val="32"/>
          <w:szCs w:val="32"/>
          <w:highlight w:val="none"/>
        </w:rPr>
        <w:t>6.26%</w:t>
      </w:r>
      <w:r>
        <w:rPr>
          <w:rFonts w:hint="eastAsia" w:ascii="仿宋_GB2312" w:hAnsi="Times New Roman" w:eastAsia="仿宋_GB2312" w:cs="仿宋_GB2312"/>
          <w:kern w:val="0"/>
          <w:sz w:val="32"/>
          <w:szCs w:val="32"/>
          <w:highlight w:val="none"/>
        </w:rPr>
        <w:t>，主要原因是：车辆维护费减少；公务接待费支出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，比上年增加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，主要原因是：本年单位无此支出。具体情况如下：</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因公出国（境）费支出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万元，开支内容包括本年单位无因公出国（境）费支出。单位全年安排的因公出国（境）团组</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个，因公出国（境）</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人次。</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公务用车购置及运行维护费</w:t>
      </w:r>
      <w:r>
        <w:rPr>
          <w:rFonts w:ascii="仿宋_GB2312" w:hAnsi="Times New Roman" w:eastAsia="仿宋_GB2312" w:cs="仿宋_GB2312"/>
          <w:kern w:val="0"/>
          <w:sz w:val="32"/>
          <w:szCs w:val="32"/>
          <w:highlight w:val="none"/>
        </w:rPr>
        <w:t>4.04</w:t>
      </w:r>
      <w:r>
        <w:rPr>
          <w:rFonts w:hint="eastAsia" w:ascii="仿宋_GB2312" w:hAnsi="Times New Roman" w:eastAsia="仿宋_GB2312" w:cs="仿宋_GB2312"/>
          <w:kern w:val="0"/>
          <w:sz w:val="32"/>
          <w:szCs w:val="32"/>
          <w:highlight w:val="none"/>
        </w:rPr>
        <w:t>万元，其中：公务用车购置费</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万元，公务用车运行维护费</w:t>
      </w:r>
      <w:r>
        <w:rPr>
          <w:rFonts w:ascii="仿宋_GB2312" w:hAnsi="Times New Roman" w:eastAsia="仿宋_GB2312" w:cs="仿宋_GB2312"/>
          <w:kern w:val="0"/>
          <w:sz w:val="32"/>
          <w:szCs w:val="32"/>
          <w:highlight w:val="none"/>
        </w:rPr>
        <w:t>4.04</w:t>
      </w:r>
      <w:r>
        <w:rPr>
          <w:rFonts w:hint="eastAsia" w:ascii="仿宋_GB2312" w:hAnsi="Times New Roman" w:eastAsia="仿宋_GB2312" w:cs="仿宋_GB2312"/>
          <w:kern w:val="0"/>
          <w:sz w:val="32"/>
          <w:szCs w:val="32"/>
          <w:highlight w:val="none"/>
        </w:rPr>
        <w:t>万元</w:t>
      </w:r>
      <w:r>
        <w:rPr>
          <w:rFonts w:hint="eastAsia" w:ascii="仿宋_GB2312" w:hAnsi="Times New Roman" w:eastAsia="仿宋_GB2312" w:cs="仿宋_GB2312"/>
          <w:kern w:val="0"/>
          <w:sz w:val="32"/>
          <w:szCs w:val="32"/>
          <w:highlight w:val="none"/>
          <w:lang w:eastAsia="zh-CN"/>
        </w:rPr>
        <w:t>（此车辆只有管理使用权）</w:t>
      </w:r>
      <w:r>
        <w:rPr>
          <w:rFonts w:hint="eastAsia" w:ascii="仿宋_GB2312" w:hAnsi="Times New Roman" w:eastAsia="仿宋_GB2312" w:cs="仿宋_GB2312"/>
          <w:kern w:val="0"/>
          <w:sz w:val="32"/>
          <w:szCs w:val="32"/>
          <w:highlight w:val="none"/>
        </w:rPr>
        <w:t>。公务用车运行维护费开支内容包括公务用车燃油费、保险费、过路费等。公务用车购置数</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辆，公务用车保有量</w:t>
      </w:r>
      <w:r>
        <w:rPr>
          <w:rFonts w:hint="eastAsia" w:ascii="仿宋_GB2312" w:hAnsi="Times New Roman" w:eastAsia="仿宋_GB2312" w:cs="仿宋_GB2312"/>
          <w:kern w:val="0"/>
          <w:sz w:val="32"/>
          <w:szCs w:val="32"/>
          <w:highlight w:val="none"/>
          <w:lang w:val="en-US" w:eastAsia="zh-CN"/>
        </w:rPr>
        <w:t>0</w:t>
      </w:r>
      <w:r>
        <w:rPr>
          <w:rFonts w:hint="eastAsia" w:ascii="仿宋_GB2312" w:hAnsi="Times New Roman" w:eastAsia="仿宋_GB2312" w:cs="仿宋_GB2312"/>
          <w:kern w:val="0"/>
          <w:sz w:val="32"/>
          <w:szCs w:val="32"/>
          <w:highlight w:val="none"/>
        </w:rPr>
        <w:t>辆。</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公务接待费</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万元，开支内容包括单位无此支出。单位全年安排的国内公务接待</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批次，</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人次。</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与年初预算</w:t>
      </w:r>
      <w:r>
        <w:rPr>
          <w:rFonts w:hint="eastAsia" w:ascii="仿宋_GB2312" w:hAnsi="Times New Roman" w:eastAsia="仿宋_GB2312" w:cs="仿宋_GB2312"/>
          <w:kern w:val="0"/>
          <w:sz w:val="32"/>
          <w:szCs w:val="32"/>
          <w:highlight w:val="none"/>
          <w:lang w:val="zh-CN"/>
        </w:rPr>
        <w:t>数</w:t>
      </w:r>
      <w:r>
        <w:rPr>
          <w:rFonts w:hint="eastAsia" w:ascii="仿宋_GB2312" w:hAnsi="Times New Roman" w:eastAsia="仿宋_GB2312" w:cs="仿宋_GB2312"/>
          <w:kern w:val="0"/>
          <w:sz w:val="32"/>
          <w:szCs w:val="32"/>
          <w:highlight w:val="none"/>
        </w:rPr>
        <w:t>相比情况</w:t>
      </w:r>
      <w:r>
        <w:rPr>
          <w:rFonts w:ascii="仿宋_GB2312"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一般公共预算</w:t>
      </w:r>
      <w:r>
        <w:rPr>
          <w:rFonts w:ascii="Times New Roman" w:hAnsi="Times New Roman" w:eastAsia="仿宋_GB2312"/>
          <w:kern w:val="0"/>
          <w:sz w:val="32"/>
          <w:szCs w:val="32"/>
          <w:highlight w:val="none"/>
        </w:rPr>
        <w:t>“</w:t>
      </w:r>
      <w:r>
        <w:rPr>
          <w:rFonts w:hint="eastAsia" w:ascii="仿宋_GB2312" w:hAnsi="Times New Roman" w:eastAsia="仿宋_GB2312" w:cs="仿宋_GB2312"/>
          <w:kern w:val="0"/>
          <w:sz w:val="32"/>
          <w:szCs w:val="32"/>
          <w:highlight w:val="none"/>
        </w:rPr>
        <w:t>三公</w:t>
      </w:r>
      <w:r>
        <w:rPr>
          <w:rFonts w:ascii="Times New Roman" w:hAnsi="Times New Roman" w:eastAsia="仿宋_GB2312"/>
          <w:kern w:val="0"/>
          <w:sz w:val="32"/>
          <w:szCs w:val="32"/>
          <w:highlight w:val="none"/>
        </w:rPr>
        <w:t>”</w:t>
      </w:r>
      <w:r>
        <w:rPr>
          <w:rFonts w:hint="eastAsia" w:ascii="仿宋_GB2312" w:hAnsi="Times New Roman" w:eastAsia="仿宋_GB2312" w:cs="仿宋_GB2312"/>
          <w:kern w:val="0"/>
          <w:sz w:val="32"/>
          <w:szCs w:val="32"/>
          <w:highlight w:val="none"/>
        </w:rPr>
        <w:t>经费支出年初预算数</w:t>
      </w:r>
      <w:r>
        <w:rPr>
          <w:rFonts w:ascii="仿宋_GB2312" w:hAnsi="Times New Roman" w:eastAsia="仿宋_GB2312" w:cs="仿宋_GB2312"/>
          <w:kern w:val="0"/>
          <w:sz w:val="32"/>
          <w:szCs w:val="32"/>
          <w:highlight w:val="none"/>
        </w:rPr>
        <w:t>4.31</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4.04</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-6.26%</w:t>
      </w:r>
      <w:r>
        <w:rPr>
          <w:rFonts w:hint="eastAsia" w:ascii="仿宋_GB2312" w:hAnsi="Times New Roman" w:eastAsia="仿宋_GB2312" w:cs="仿宋_GB2312"/>
          <w:kern w:val="0"/>
          <w:sz w:val="32"/>
          <w:szCs w:val="32"/>
          <w:highlight w:val="none"/>
        </w:rPr>
        <w:t>，主要原因是：车辆维护费减少。其中：因公出国（境）费预算数</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，主要原因是：本年单位无因公出国（境）费支出；公务用车购置费预算数</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，主要原因是：本年单位无此支出；公务用车运行费预算数</w:t>
      </w:r>
      <w:r>
        <w:rPr>
          <w:rFonts w:ascii="仿宋_GB2312" w:hAnsi="Times New Roman" w:eastAsia="仿宋_GB2312" w:cs="仿宋_GB2312"/>
          <w:kern w:val="0"/>
          <w:sz w:val="32"/>
          <w:szCs w:val="32"/>
          <w:highlight w:val="none"/>
        </w:rPr>
        <w:t>4.31</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4.04</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-6.26%</w:t>
      </w:r>
      <w:r>
        <w:rPr>
          <w:rFonts w:hint="eastAsia" w:ascii="仿宋_GB2312" w:hAnsi="Times New Roman" w:eastAsia="仿宋_GB2312" w:cs="仿宋_GB2312"/>
          <w:kern w:val="0"/>
          <w:sz w:val="32"/>
          <w:szCs w:val="32"/>
          <w:highlight w:val="none"/>
        </w:rPr>
        <w:t>，主要原因是：车辆维护费减少；公务接待费预算数</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万元，决算数</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万元，预决算差异率</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，主要原因是：本年单位无此支出。</w:t>
      </w:r>
    </w:p>
    <w:p>
      <w:pPr>
        <w:autoSpaceDE w:val="0"/>
        <w:autoSpaceDN w:val="0"/>
        <w:adjustRightInd w:val="0"/>
        <w:spacing w:line="360" w:lineRule="auto"/>
        <w:ind w:firstLine="640"/>
        <w:rPr>
          <w:rFonts w:ascii="黑体" w:hAnsi="Times New Roman" w:eastAsia="黑体" w:cs="黑体"/>
          <w:sz w:val="32"/>
          <w:szCs w:val="32"/>
          <w:highlight w:val="none"/>
          <w:lang w:val="zh-CN"/>
        </w:rPr>
      </w:pPr>
      <w:r>
        <w:rPr>
          <w:rFonts w:hint="eastAsia" w:ascii="黑体" w:hAnsi="Times New Roman" w:eastAsia="黑体" w:cs="黑体"/>
          <w:sz w:val="32"/>
          <w:szCs w:val="32"/>
          <w:highlight w:val="none"/>
          <w:lang w:val="zh-CN"/>
        </w:rPr>
        <w:t>八、政府性基金预算财政拨款收入支出决算情况说明</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年度政府性基金预算财政拨款收入</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万元，与上年相比，增加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主要原因是：本年单位无此支出。政府性基金预算财政拨款支出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万元，与上年相比，增加</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主要原因是：本年单位无此支出。</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九、国有资本经营预算财政拨款收入支出决算情况说明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我单位本年度无国有资本经营预算财政拨款收入支出，国有资本经营预算财政拨款收入支出决算表为空表。</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十、其他重要事项的情况说明</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（一）机关运行经费支出情况</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年度乌鲁木齐高新技术产业开发区（乌鲁木齐市新市区）</w:t>
      </w:r>
      <w:r>
        <w:rPr>
          <w:rFonts w:hint="eastAsia" w:ascii="仿宋_GB2312" w:hAnsi="仿宋_GB2312" w:eastAsia="仿宋_GB2312"/>
          <w:kern w:val="0"/>
          <w:sz w:val="32"/>
          <w:szCs w:val="24"/>
          <w:highlight w:val="none"/>
        </w:rPr>
        <w:t>正扬路片区管理委员会</w:t>
      </w:r>
      <w:r>
        <w:rPr>
          <w:rFonts w:hint="eastAsia" w:ascii="仿宋_GB2312" w:hAnsi="Times New Roman" w:eastAsia="仿宋_GB2312" w:cs="仿宋_GB2312"/>
          <w:kern w:val="0"/>
          <w:sz w:val="32"/>
          <w:szCs w:val="32"/>
          <w:highlight w:val="none"/>
        </w:rPr>
        <w:t>单位机关运行经费支出</w:t>
      </w:r>
      <w:r>
        <w:rPr>
          <w:rFonts w:ascii="仿宋_GB2312" w:hAnsi="Times New Roman" w:eastAsia="仿宋_GB2312" w:cs="仿宋_GB2312"/>
          <w:kern w:val="0"/>
          <w:sz w:val="32"/>
          <w:szCs w:val="32"/>
          <w:highlight w:val="none"/>
        </w:rPr>
        <w:t>57.21</w:t>
      </w:r>
      <w:r>
        <w:rPr>
          <w:rFonts w:hint="eastAsia" w:ascii="仿宋_GB2312" w:hAnsi="Times New Roman" w:eastAsia="仿宋_GB2312" w:cs="仿宋_GB2312"/>
          <w:kern w:val="0"/>
          <w:sz w:val="32"/>
          <w:szCs w:val="32"/>
          <w:highlight w:val="none"/>
        </w:rPr>
        <w:t>万元，比上年增加</w:t>
      </w:r>
      <w:r>
        <w:rPr>
          <w:rFonts w:ascii="仿宋_GB2312" w:hAnsi="Times New Roman" w:eastAsia="仿宋_GB2312" w:cs="仿宋_GB2312"/>
          <w:kern w:val="0"/>
          <w:sz w:val="32"/>
          <w:szCs w:val="32"/>
          <w:highlight w:val="none"/>
        </w:rPr>
        <w:t>29.73</w:t>
      </w:r>
      <w:r>
        <w:rPr>
          <w:rFonts w:hint="eastAsia" w:ascii="仿宋_GB2312" w:hAnsi="Times New Roman" w:eastAsia="仿宋_GB2312" w:cs="仿宋_GB2312"/>
          <w:kern w:val="0"/>
          <w:sz w:val="32"/>
          <w:szCs w:val="32"/>
          <w:highlight w:val="none"/>
        </w:rPr>
        <w:t>万元，增长</w:t>
      </w:r>
      <w:r>
        <w:rPr>
          <w:rFonts w:ascii="仿宋_GB2312" w:hAnsi="Times New Roman" w:eastAsia="仿宋_GB2312" w:cs="仿宋_GB2312"/>
          <w:kern w:val="0"/>
          <w:sz w:val="32"/>
          <w:szCs w:val="32"/>
          <w:highlight w:val="none"/>
        </w:rPr>
        <w:t>108.19%</w:t>
      </w:r>
      <w:r>
        <w:rPr>
          <w:rFonts w:hint="eastAsia" w:ascii="仿宋_GB2312" w:hAnsi="Times New Roman" w:eastAsia="仿宋_GB2312" w:cs="仿宋_GB2312"/>
          <w:kern w:val="0"/>
          <w:sz w:val="32"/>
          <w:szCs w:val="32"/>
          <w:highlight w:val="none"/>
        </w:rPr>
        <w:t>，主要原因是：</w:t>
      </w:r>
      <w:r>
        <w:rPr>
          <w:rFonts w:hint="eastAsia" w:ascii="仿宋_GB2312" w:hAnsi="仿宋_GB2312" w:eastAsia="仿宋_GB2312"/>
          <w:kern w:val="0"/>
          <w:sz w:val="32"/>
          <w:szCs w:val="24"/>
          <w:highlight w:val="none"/>
        </w:rPr>
        <w:t>疫情影响机关运行经费增加</w:t>
      </w:r>
      <w:r>
        <w:rPr>
          <w:rFonts w:hint="eastAsia" w:ascii="仿宋_GB2312" w:hAnsi="Times New Roman" w:eastAsia="仿宋_GB2312" w:cs="仿宋_GB2312"/>
          <w:kern w:val="0"/>
          <w:sz w:val="32"/>
          <w:szCs w:val="32"/>
          <w:highlight w:val="none"/>
        </w:rPr>
        <w:t>。</w:t>
      </w:r>
    </w:p>
    <w:p>
      <w:pPr>
        <w:autoSpaceDE w:val="0"/>
        <w:autoSpaceDN w:val="0"/>
        <w:adjustRightInd w:val="0"/>
        <w:spacing w:line="360" w:lineRule="auto"/>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w:t>
      </w:r>
      <w:r>
        <w:rPr>
          <w:rFonts w:hint="eastAsia" w:ascii="黑体" w:hAnsi="Times New Roman" w:eastAsia="黑体" w:cs="黑体"/>
          <w:sz w:val="32"/>
          <w:szCs w:val="32"/>
          <w:highlight w:val="none"/>
          <w:lang w:val="zh-CN"/>
        </w:rPr>
        <w:t>二</w:t>
      </w:r>
      <w:r>
        <w:rPr>
          <w:rFonts w:hint="eastAsia" w:ascii="黑体" w:hAnsi="Times New Roman" w:eastAsia="黑体" w:cs="黑体"/>
          <w:sz w:val="32"/>
          <w:szCs w:val="32"/>
          <w:highlight w:val="none"/>
        </w:rPr>
        <w:t>）</w:t>
      </w:r>
      <w:r>
        <w:rPr>
          <w:rFonts w:hint="eastAsia" w:ascii="黑体" w:hAnsi="Times New Roman" w:eastAsia="黑体" w:cs="黑体"/>
          <w:sz w:val="32"/>
          <w:szCs w:val="32"/>
          <w:highlight w:val="none"/>
          <w:lang w:val="zh-CN"/>
        </w:rPr>
        <w:t>政府采购情况</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年度政府采购支出总额</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万元，其中：政府采购货物支出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万元、政府采购工程支出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万元、政府采购服务支出</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授予中小企业合同金额</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万元，占政府采购支出总额的</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，其中：授予小微企业合同金额</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万元，占政府采购支出总额的</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（三）国有资产占用情况说明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截止</w:t>
      </w: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w:t>
      </w:r>
      <w:r>
        <w:rPr>
          <w:rFonts w:ascii="仿宋_GB2312" w:hAnsi="Times New Roman" w:eastAsia="仿宋_GB2312" w:cs="仿宋_GB2312"/>
          <w:kern w:val="0"/>
          <w:sz w:val="32"/>
          <w:szCs w:val="32"/>
          <w:highlight w:val="none"/>
        </w:rPr>
        <w:t>12</w:t>
      </w:r>
      <w:r>
        <w:rPr>
          <w:rFonts w:hint="eastAsia" w:ascii="仿宋_GB2312" w:hAnsi="Times New Roman" w:eastAsia="仿宋_GB2312" w:cs="仿宋_GB2312"/>
          <w:kern w:val="0"/>
          <w:sz w:val="32"/>
          <w:szCs w:val="32"/>
          <w:highlight w:val="none"/>
        </w:rPr>
        <w:t>月</w:t>
      </w:r>
      <w:r>
        <w:rPr>
          <w:rFonts w:ascii="仿宋_GB2312" w:hAnsi="Times New Roman" w:eastAsia="仿宋_GB2312" w:cs="仿宋_GB2312"/>
          <w:kern w:val="0"/>
          <w:sz w:val="32"/>
          <w:szCs w:val="32"/>
          <w:highlight w:val="none"/>
        </w:rPr>
        <w:t>31</w:t>
      </w:r>
      <w:r>
        <w:rPr>
          <w:rFonts w:hint="eastAsia" w:ascii="仿宋_GB2312" w:hAnsi="Times New Roman" w:eastAsia="仿宋_GB2312" w:cs="仿宋_GB2312"/>
          <w:kern w:val="0"/>
          <w:sz w:val="32"/>
          <w:szCs w:val="32"/>
          <w:highlight w:val="none"/>
        </w:rPr>
        <w:t>日，单位共有房屋</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（平方米），价值</w:t>
      </w:r>
      <w:r>
        <w:rPr>
          <w:rFonts w:ascii="仿宋_GB2312" w:hAnsi="Times New Roman" w:eastAsia="仿宋_GB2312" w:cs="仿宋_GB2312"/>
          <w:kern w:val="0"/>
          <w:sz w:val="32"/>
          <w:szCs w:val="32"/>
          <w:highlight w:val="none"/>
        </w:rPr>
        <w:t>0.00</w:t>
      </w:r>
      <w:r>
        <w:rPr>
          <w:rFonts w:hint="eastAsia" w:ascii="仿宋_GB2312" w:hAnsi="Times New Roman" w:eastAsia="仿宋_GB2312" w:cs="仿宋_GB2312"/>
          <w:kern w:val="0"/>
          <w:sz w:val="32"/>
          <w:szCs w:val="32"/>
          <w:highlight w:val="none"/>
        </w:rPr>
        <w:t>万元。车辆</w:t>
      </w:r>
      <w:r>
        <w:rPr>
          <w:rFonts w:ascii="仿宋_GB2312" w:hAnsi="Times New Roman" w:eastAsia="仿宋_GB2312" w:cs="仿宋_GB2312"/>
          <w:kern w:val="0"/>
          <w:sz w:val="32"/>
          <w:szCs w:val="32"/>
          <w:highlight w:val="none"/>
        </w:rPr>
        <w:t>11</w:t>
      </w:r>
      <w:r>
        <w:rPr>
          <w:rFonts w:hint="eastAsia" w:ascii="仿宋_GB2312" w:hAnsi="Times New Roman" w:eastAsia="仿宋_GB2312" w:cs="仿宋_GB2312"/>
          <w:kern w:val="0"/>
          <w:sz w:val="32"/>
          <w:szCs w:val="32"/>
          <w:highlight w:val="none"/>
        </w:rPr>
        <w:t>辆，价值</w:t>
      </w:r>
      <w:r>
        <w:rPr>
          <w:rFonts w:ascii="仿宋_GB2312" w:hAnsi="Times New Roman" w:eastAsia="仿宋_GB2312" w:cs="仿宋_GB2312"/>
          <w:kern w:val="0"/>
          <w:sz w:val="32"/>
          <w:szCs w:val="32"/>
          <w:highlight w:val="none"/>
        </w:rPr>
        <w:t>85.43</w:t>
      </w:r>
      <w:r>
        <w:rPr>
          <w:rFonts w:hint="eastAsia" w:ascii="仿宋_GB2312" w:hAnsi="Times New Roman" w:eastAsia="仿宋_GB2312" w:cs="仿宋_GB2312"/>
          <w:kern w:val="0"/>
          <w:sz w:val="32"/>
          <w:szCs w:val="32"/>
          <w:highlight w:val="none"/>
        </w:rPr>
        <w:t>万元，其中：副部（省）级及以上领导用车</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辆、主要领导干部用车</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辆、机要通信用车</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辆、应急保障用车</w:t>
      </w:r>
      <w:r>
        <w:rPr>
          <w:rFonts w:ascii="仿宋_GB2312" w:hAnsi="Times New Roman" w:eastAsia="仿宋_GB2312" w:cs="仿宋_GB2312"/>
          <w:kern w:val="0"/>
          <w:sz w:val="32"/>
          <w:szCs w:val="32"/>
          <w:highlight w:val="none"/>
        </w:rPr>
        <w:t>6</w:t>
      </w:r>
      <w:r>
        <w:rPr>
          <w:rFonts w:hint="eastAsia" w:ascii="仿宋_GB2312" w:hAnsi="Times New Roman" w:eastAsia="仿宋_GB2312" w:cs="仿宋_GB2312"/>
          <w:kern w:val="0"/>
          <w:sz w:val="32"/>
          <w:szCs w:val="32"/>
          <w:highlight w:val="none"/>
        </w:rPr>
        <w:t>辆、执法执勤用车</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辆、特种专业技术用车</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辆、离退休干部用车</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辆、其他用车</w:t>
      </w:r>
      <w:r>
        <w:rPr>
          <w:rFonts w:ascii="仿宋_GB2312" w:hAnsi="Times New Roman" w:eastAsia="仿宋_GB2312" w:cs="仿宋_GB2312"/>
          <w:kern w:val="0"/>
          <w:sz w:val="32"/>
          <w:szCs w:val="32"/>
          <w:highlight w:val="none"/>
        </w:rPr>
        <w:t>5</w:t>
      </w:r>
      <w:r>
        <w:rPr>
          <w:rFonts w:hint="eastAsia" w:ascii="仿宋_GB2312" w:hAnsi="Times New Roman" w:eastAsia="仿宋_GB2312" w:cs="仿宋_GB2312"/>
          <w:kern w:val="0"/>
          <w:sz w:val="32"/>
          <w:szCs w:val="32"/>
          <w:highlight w:val="none"/>
        </w:rPr>
        <w:t>辆，其他用车主要是：巡逻车；单位价值</w:t>
      </w:r>
      <w:r>
        <w:rPr>
          <w:rFonts w:ascii="仿宋_GB2312" w:hAnsi="Times New Roman" w:eastAsia="仿宋_GB2312" w:cs="仿宋_GB2312"/>
          <w:kern w:val="0"/>
          <w:sz w:val="32"/>
          <w:szCs w:val="32"/>
          <w:highlight w:val="none"/>
        </w:rPr>
        <w:t>50</w:t>
      </w:r>
      <w:r>
        <w:rPr>
          <w:rFonts w:hint="eastAsia" w:ascii="仿宋_GB2312" w:hAnsi="Times New Roman" w:eastAsia="仿宋_GB2312" w:cs="仿宋_GB2312"/>
          <w:kern w:val="0"/>
          <w:sz w:val="32"/>
          <w:szCs w:val="32"/>
          <w:highlight w:val="none"/>
        </w:rPr>
        <w:t>万元以上通用设备</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台（套）、单位价值</w:t>
      </w:r>
      <w:r>
        <w:rPr>
          <w:rFonts w:ascii="仿宋_GB2312" w:hAnsi="Times New Roman" w:eastAsia="仿宋_GB2312" w:cs="仿宋_GB2312"/>
          <w:kern w:val="0"/>
          <w:sz w:val="32"/>
          <w:szCs w:val="32"/>
          <w:highlight w:val="none"/>
        </w:rPr>
        <w:t>100</w:t>
      </w:r>
      <w:r>
        <w:rPr>
          <w:rFonts w:hint="eastAsia" w:ascii="仿宋_GB2312" w:hAnsi="Times New Roman" w:eastAsia="仿宋_GB2312" w:cs="仿宋_GB2312"/>
          <w:kern w:val="0"/>
          <w:sz w:val="32"/>
          <w:szCs w:val="32"/>
          <w:highlight w:val="none"/>
        </w:rPr>
        <w:t>万元以上专用设备</w:t>
      </w:r>
      <w:r>
        <w:rPr>
          <w:rFonts w:ascii="仿宋_GB2312" w:hAnsi="Times New Roman" w:eastAsia="仿宋_GB2312" w:cs="仿宋_GB2312"/>
          <w:kern w:val="0"/>
          <w:sz w:val="32"/>
          <w:szCs w:val="32"/>
          <w:highlight w:val="none"/>
        </w:rPr>
        <w:t>0</w:t>
      </w:r>
      <w:r>
        <w:rPr>
          <w:rFonts w:hint="eastAsia" w:ascii="仿宋_GB2312" w:hAnsi="Times New Roman" w:eastAsia="仿宋_GB2312" w:cs="仿宋_GB2312"/>
          <w:kern w:val="0"/>
          <w:sz w:val="32"/>
          <w:szCs w:val="32"/>
          <w:highlight w:val="none"/>
        </w:rPr>
        <w:t>台（套）。</w:t>
      </w:r>
    </w:p>
    <w:p>
      <w:pPr>
        <w:autoSpaceDE w:val="0"/>
        <w:autoSpaceDN w:val="0"/>
        <w:adjustRightInd w:val="0"/>
        <w:spacing w:line="360" w:lineRule="auto"/>
        <w:ind w:firstLine="640"/>
        <w:rPr>
          <w:rFonts w:ascii="Times New Roman" w:hAnsi="Times New Roman" w:eastAsia="黑体"/>
          <w:sz w:val="32"/>
          <w:szCs w:val="32"/>
          <w:highlight w:val="none"/>
          <w:lang w:val="zh-CN"/>
        </w:rPr>
      </w:pPr>
      <w:r>
        <w:rPr>
          <w:rFonts w:hint="eastAsia" w:ascii="黑体" w:hAnsi="Times New Roman" w:eastAsia="黑体" w:cs="黑体"/>
          <w:sz w:val="32"/>
          <w:szCs w:val="32"/>
          <w:highlight w:val="none"/>
          <w:lang w:val="zh-CN"/>
        </w:rPr>
        <w:t>十一、预算绩效的情况说明</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r>
        <w:rPr>
          <w:rFonts w:hint="eastAsia" w:ascii="仿宋_GB2312" w:hAnsi="Times New Roman" w:eastAsia="仿宋_GB2312" w:cs="仿宋_GB2312"/>
          <w:kern w:val="0"/>
          <w:sz w:val="32"/>
          <w:szCs w:val="32"/>
          <w:highlight w:val="none"/>
        </w:rPr>
        <w:t>根据预算绩效管理要求，我单位</w:t>
      </w:r>
      <w:r>
        <w:rPr>
          <w:rFonts w:ascii="仿宋_GB2312" w:hAnsi="Times New Roman" w:eastAsia="仿宋_GB2312" w:cs="仿宋_GB2312"/>
          <w:kern w:val="0"/>
          <w:sz w:val="32"/>
          <w:szCs w:val="32"/>
          <w:highlight w:val="none"/>
        </w:rPr>
        <w:t>2021</w:t>
      </w:r>
      <w:r>
        <w:rPr>
          <w:rFonts w:hint="eastAsia" w:ascii="仿宋_GB2312" w:hAnsi="Times New Roman" w:eastAsia="仿宋_GB2312" w:cs="仿宋_GB2312"/>
          <w:kern w:val="0"/>
          <w:sz w:val="32"/>
          <w:szCs w:val="32"/>
          <w:highlight w:val="none"/>
        </w:rPr>
        <w:t>年度开展预算绩效评价项目</w:t>
      </w:r>
      <w:r>
        <w:rPr>
          <w:rFonts w:ascii="仿宋_GB2312" w:hAnsi="Times New Roman" w:eastAsia="仿宋_GB2312" w:cs="仿宋_GB2312"/>
          <w:kern w:val="0"/>
          <w:sz w:val="32"/>
          <w:szCs w:val="32"/>
          <w:highlight w:val="none"/>
        </w:rPr>
        <w:t>17</w:t>
      </w:r>
      <w:r>
        <w:rPr>
          <w:rFonts w:hint="eastAsia" w:ascii="仿宋_GB2312" w:hAnsi="Times New Roman" w:eastAsia="仿宋_GB2312" w:cs="仿宋_GB2312"/>
          <w:kern w:val="0"/>
          <w:sz w:val="32"/>
          <w:szCs w:val="32"/>
          <w:highlight w:val="none"/>
        </w:rPr>
        <w:t>个，共涉及资金</w:t>
      </w:r>
      <w:r>
        <w:rPr>
          <w:rFonts w:ascii="仿宋_GB2312" w:hAnsi="Times New Roman" w:eastAsia="仿宋_GB2312" w:cs="仿宋_GB2312"/>
          <w:kern w:val="0"/>
          <w:sz w:val="32"/>
          <w:szCs w:val="32"/>
          <w:highlight w:val="none"/>
        </w:rPr>
        <w:t>2871.09</w:t>
      </w:r>
      <w:r>
        <w:rPr>
          <w:rFonts w:hint="eastAsia" w:ascii="仿宋_GB2312" w:hAnsi="Times New Roman" w:eastAsia="仿宋_GB2312" w:cs="仿宋_GB2312"/>
          <w:kern w:val="0"/>
          <w:sz w:val="32"/>
          <w:szCs w:val="32"/>
          <w:highlight w:val="none"/>
        </w:rPr>
        <w:t>万元。预算绩效管理取得的成效：一是</w:t>
      </w:r>
      <w:r>
        <w:rPr>
          <w:rFonts w:hint="eastAsia" w:ascii="仿宋_GB2312" w:hAnsi="Times New Roman" w:eastAsia="仿宋_GB2312"/>
          <w:kern w:val="0"/>
          <w:sz w:val="32"/>
          <w:szCs w:val="24"/>
          <w:highlight w:val="none"/>
        </w:rPr>
        <w:t>内容突破，开展整体预算绩效监测管理以来，所有实行整体目标管理的部门要及时上报预算执行进度和目标完成情况，预测全年完成数，分析偏差原因及采取的纠偏措施</w:t>
      </w:r>
      <w:r>
        <w:rPr>
          <w:rFonts w:hint="eastAsia" w:ascii="仿宋_GB2312" w:hAnsi="Times New Roman" w:eastAsia="仿宋_GB2312" w:cs="仿宋_GB2312"/>
          <w:kern w:val="0"/>
          <w:sz w:val="32"/>
          <w:szCs w:val="32"/>
          <w:highlight w:val="none"/>
        </w:rPr>
        <w:t>；二是</w:t>
      </w:r>
      <w:r>
        <w:rPr>
          <w:rFonts w:hint="eastAsia" w:ascii="仿宋_GB2312" w:hAnsi="Times New Roman" w:eastAsia="仿宋_GB2312"/>
          <w:kern w:val="0"/>
          <w:sz w:val="32"/>
          <w:szCs w:val="24"/>
          <w:highlight w:val="none"/>
        </w:rPr>
        <w:t>手段突破，从传统的手工方式转为信息化管理方式，目标、监测环节全面实现线上编报、审核、查询</w:t>
      </w:r>
      <w:r>
        <w:rPr>
          <w:rFonts w:hint="eastAsia" w:ascii="仿宋_GB2312" w:hAnsi="Times New Roman" w:eastAsia="仿宋_GB2312" w:cs="仿宋_GB2312"/>
          <w:kern w:val="0"/>
          <w:sz w:val="32"/>
          <w:szCs w:val="32"/>
          <w:highlight w:val="none"/>
        </w:rPr>
        <w:t>。发现的问题及原因：一是</w:t>
      </w:r>
      <w:r>
        <w:rPr>
          <w:rFonts w:hint="eastAsia" w:ascii="仿宋_GB2312" w:hAnsi="Times New Roman" w:eastAsia="仿宋_GB2312"/>
          <w:kern w:val="0"/>
          <w:sz w:val="32"/>
          <w:szCs w:val="24"/>
          <w:highlight w:val="none"/>
        </w:rPr>
        <w:t>对各项指标和指标值要进一步优化、完善，主要在细化、量化上改进</w:t>
      </w:r>
      <w:r>
        <w:rPr>
          <w:rFonts w:hint="eastAsia" w:ascii="仿宋_GB2312" w:hAnsi="Times New Roman" w:eastAsia="仿宋_GB2312" w:cs="仿宋_GB2312"/>
          <w:kern w:val="0"/>
          <w:sz w:val="32"/>
          <w:szCs w:val="32"/>
          <w:highlight w:val="none"/>
        </w:rPr>
        <w:t>；二是</w:t>
      </w:r>
      <w:r>
        <w:rPr>
          <w:rFonts w:hint="eastAsia" w:ascii="仿宋_GB2312" w:hAnsi="Times New Roman" w:eastAsia="仿宋_GB2312"/>
          <w:kern w:val="0"/>
          <w:sz w:val="32"/>
          <w:szCs w:val="24"/>
          <w:highlight w:val="none"/>
        </w:rPr>
        <w:t>自评价工作还存在自我审定的局限性，会影响评价质量，容易造成问题的疏漏，在客观性和公正性上说服力不强</w:t>
      </w:r>
      <w:r>
        <w:rPr>
          <w:rFonts w:hint="eastAsia" w:ascii="仿宋_GB2312" w:hAnsi="Times New Roman" w:eastAsia="仿宋_GB2312" w:cs="仿宋_GB2312"/>
          <w:kern w:val="0"/>
          <w:sz w:val="32"/>
          <w:szCs w:val="32"/>
          <w:highlight w:val="none"/>
        </w:rPr>
        <w:t>。下一步改进措施：一是</w:t>
      </w:r>
      <w:r>
        <w:rPr>
          <w:rFonts w:hint="eastAsia" w:ascii="仿宋_GB2312" w:hAnsi="Times New Roman" w:eastAsia="仿宋_GB2312"/>
          <w:kern w:val="0"/>
          <w:sz w:val="32"/>
          <w:szCs w:val="24"/>
          <w:highlight w:val="none"/>
        </w:rPr>
        <w:t>一是加强对项目实施单位的指导和培训工作，进一步完善设置相关工作绩效指标，确保项目达到预期的效益</w:t>
      </w:r>
      <w:r>
        <w:rPr>
          <w:rFonts w:hint="eastAsia" w:ascii="仿宋_GB2312" w:hAnsi="Times New Roman" w:eastAsia="仿宋_GB2312" w:cs="仿宋_GB2312"/>
          <w:kern w:val="0"/>
          <w:sz w:val="32"/>
          <w:szCs w:val="32"/>
          <w:highlight w:val="none"/>
        </w:rPr>
        <w:t>；二是</w:t>
      </w:r>
      <w:r>
        <w:rPr>
          <w:rFonts w:hint="eastAsia" w:ascii="仿宋_GB2312" w:hAnsi="Times New Roman" w:eastAsia="仿宋_GB2312"/>
          <w:kern w:val="0"/>
          <w:sz w:val="32"/>
          <w:szCs w:val="24"/>
          <w:highlight w:val="none"/>
        </w:rPr>
        <w:t>要求项目单位进一步完善项目管理，加强项目过程控制，并针对相应的问题进行沟通解决</w:t>
      </w:r>
      <w:r>
        <w:rPr>
          <w:rFonts w:hint="eastAsia" w:ascii="仿宋_GB2312" w:hAnsi="Times New Roman" w:eastAsia="仿宋_GB2312" w:cs="仿宋_GB2312"/>
          <w:kern w:val="0"/>
          <w:sz w:val="32"/>
          <w:szCs w:val="32"/>
          <w:highlight w:val="none"/>
        </w:rPr>
        <w:t>。具体项目自评情况附项目支出绩效自评表。</w: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jc w:val="left"/>
        <w:rPr>
          <w:highlight w:val="none"/>
        </w:rPr>
      </w:pPr>
    </w:p>
    <w:p>
      <w:pPr>
        <w:shd w:val="clear" w:color="auto" w:fill="FFFFFF"/>
        <w:autoSpaceDE w:val="0"/>
        <w:autoSpaceDN w:val="0"/>
        <w:adjustRightInd w:val="0"/>
        <w:spacing w:line="360" w:lineRule="auto"/>
        <w:jc w:val="left"/>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25" o:spt="75" type="#_x0000_t75" style="height:605.9pt;width:455.75pt;" o:ole="t" filled="f" o:preferrelative="t" stroked="f" coordsize="21600,21600">
            <v:path/>
            <v:fill on="f" focussize="0,0"/>
            <v:stroke on="f" joinstyle="miter"/>
            <v:imagedata r:id="rId5" o:title=""/>
            <o:lock v:ext="edit" aspectratio="f"/>
            <w10:wrap type="none"/>
            <w10:anchorlock/>
          </v:shape>
          <o:OLEObject Type="Embed" ProgID="Excel.Sheet.12" ShapeID="_x0000_i1025" DrawAspect="Content" ObjectID="_1468075725" r:id="rId4">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26" o:spt="75" type="#_x0000_t75" style="height:575.3pt;width:428.6pt;" o:ole="t" filled="f" o:preferrelative="t" stroked="f" coordsize="21600,21600">
            <v:path/>
            <v:fill on="f" focussize="0,0"/>
            <v:stroke on="f" joinstyle="miter"/>
            <v:imagedata r:id="rId7" o:title=""/>
            <o:lock v:ext="edit" aspectratio="f"/>
            <w10:wrap type="none"/>
            <w10:anchorlock/>
          </v:shape>
          <o:OLEObject Type="Embed" ProgID="Excel.Sheet.12" ShapeID="_x0000_i1026" DrawAspect="Content" ObjectID="_1468075726" r:id="rId6">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27" o:spt="75" type="#_x0000_t75" style="height:506.05pt;width:430.65pt;" o:ole="t" filled="f" o:preferrelative="t" stroked="f" coordsize="21600,21600">
            <v:path/>
            <v:fill on="f" focussize="0,0"/>
            <v:stroke on="f" joinstyle="miter"/>
            <v:imagedata r:id="rId9" o:title=""/>
            <o:lock v:ext="edit" aspectratio="f"/>
            <w10:wrap type="none"/>
            <w10:anchorlock/>
          </v:shape>
          <o:OLEObject Type="Embed" ProgID="Excel.Sheet.12" ShapeID="_x0000_i1027" DrawAspect="Content" ObjectID="_1468075727" r:id="rId8">
            <o:LockedField>false</o:LockedField>
          </o:OLEObject>
        </w:objec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28" o:spt="75" type="#_x0000_t75" style="height:586.2pt;width:436.75pt;" o:ole="t" filled="f" o:preferrelative="t" stroked="f" coordsize="21600,21600">
            <v:path/>
            <v:fill on="f" focussize="0,0"/>
            <v:stroke on="f" joinstyle="miter"/>
            <v:imagedata r:id="rId11" o:title=""/>
            <o:lock v:ext="edit" aspectratio="f"/>
            <w10:wrap type="none"/>
            <w10:anchorlock/>
          </v:shape>
          <o:OLEObject Type="Embed" ProgID="Excel.Sheet.12" ShapeID="_x0000_i1028" DrawAspect="Content" ObjectID="_1468075728" r:id="rId10">
            <o:LockedField>false</o:LockedField>
          </o:OLEObject>
        </w:objec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29" o:spt="75" type="#_x0000_t75" style="height:563.75pt;width:433.35pt;" o:ole="t" filled="f" o:preferrelative="t" stroked="f" coordsize="21600,21600">
            <v:path/>
            <v:fill on="f" focussize="0,0"/>
            <v:stroke on="f" joinstyle="miter"/>
            <v:imagedata r:id="rId13" o:title=""/>
            <o:lock v:ext="edit" aspectratio="f"/>
            <w10:wrap type="none"/>
            <w10:anchorlock/>
          </v:shape>
          <o:OLEObject Type="Embed" ProgID="Excel.Sheet.12" ShapeID="_x0000_i1029" DrawAspect="Content" ObjectID="_1468075729" r:id="rId12">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0" o:spt="75" type="#_x0000_t75" style="height:564.45pt;width:446.95pt;" o:ole="t" filled="f" o:preferrelative="t" stroked="f" coordsize="21600,21600">
            <v:path/>
            <v:fill on="f" focussize="0,0"/>
            <v:stroke on="f" joinstyle="miter"/>
            <v:imagedata r:id="rId15" o:title=""/>
            <o:lock v:ext="edit" aspectratio="f"/>
            <w10:wrap type="none"/>
            <w10:anchorlock/>
          </v:shape>
          <o:OLEObject Type="Embed" ProgID="Excel.Sheet.12" ShapeID="_x0000_i1030" DrawAspect="Content" ObjectID="_1468075730" r:id="rId14">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1" o:spt="75" type="#_x0000_t75" style="height:570.55pt;width:434.7pt;" o:ole="t" filled="f" o:preferrelative="t" stroked="f" coordsize="21600,21600">
            <v:path/>
            <v:fill on="f" focussize="0,0"/>
            <v:stroke on="f" joinstyle="miter"/>
            <v:imagedata r:id="rId17" o:title=""/>
            <o:lock v:ext="edit" aspectratio="f"/>
            <w10:wrap type="none"/>
            <w10:anchorlock/>
          </v:shape>
          <o:OLEObject Type="Embed" ProgID="Excel.Sheet.12" ShapeID="_x0000_i1031" DrawAspect="Content" ObjectID="_1468075731" r:id="rId16">
            <o:LockedField>false</o:LockedField>
          </o:OLEObject>
        </w:objec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2" o:spt="75" type="#_x0000_t75" style="height:552.9pt;width:419.75pt;" o:ole="t" filled="f" o:preferrelative="t" stroked="f" coordsize="21600,21600">
            <v:path/>
            <v:fill on="f" focussize="0,0"/>
            <v:stroke on="f" joinstyle="miter"/>
            <v:imagedata r:id="rId19" o:title=""/>
            <o:lock v:ext="edit" aspectratio="f"/>
            <w10:wrap type="none"/>
            <w10:anchorlock/>
          </v:shape>
          <o:OLEObject Type="Embed" ProgID="Excel.Sheet.12" ShapeID="_x0000_i1032" DrawAspect="Content" ObjectID="_1468075732" r:id="rId18">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3" o:spt="75" type="#_x0000_t75" style="height:578.7pt;width:453.05pt;" o:ole="t" filled="f" o:preferrelative="t" stroked="f" coordsize="21600,21600">
            <v:path/>
            <v:fill on="f" focussize="0,0"/>
            <v:stroke on="f" joinstyle="miter"/>
            <v:imagedata r:id="rId21" o:title=""/>
            <o:lock v:ext="edit" aspectratio="f"/>
            <w10:wrap type="none"/>
            <w10:anchorlock/>
          </v:shape>
          <o:OLEObject Type="Embed" ProgID="Excel.Sheet.12" ShapeID="_x0000_i1033" DrawAspect="Content" ObjectID="_1468075733" r:id="rId20">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4" o:spt="75" type="#_x0000_t75" style="height:567.85pt;width:432pt;" o:ole="t" filled="f" o:preferrelative="t" stroked="f" coordsize="21600,21600">
            <v:path/>
            <v:fill on="f" focussize="0,0"/>
            <v:stroke on="f" joinstyle="miter"/>
            <v:imagedata r:id="rId23" o:title=""/>
            <o:lock v:ext="edit" aspectratio="f"/>
            <w10:wrap type="none"/>
            <w10:anchorlock/>
          </v:shape>
          <o:OLEObject Type="Embed" ProgID="Excel.Sheet.12" ShapeID="_x0000_i1034" DrawAspect="Content" ObjectID="_1468075734" r:id="rId22">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5" o:spt="75" type="#_x0000_t75" style="height:584.85pt;width:433.35pt;" o:ole="t" filled="f" o:preferrelative="t" stroked="f" coordsize="21600,21600">
            <v:path/>
            <v:fill on="f" focussize="0,0"/>
            <v:stroke on="f" joinstyle="miter"/>
            <v:imagedata r:id="rId25" o:title=""/>
            <o:lock v:ext="edit" aspectratio="f"/>
            <w10:wrap type="none"/>
            <w10:anchorlock/>
          </v:shape>
          <o:OLEObject Type="Embed" ProgID="Excel.Sheet.12" ShapeID="_x0000_i1035" DrawAspect="Content" ObjectID="_1468075735" r:id="rId24">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6" o:spt="75" type="#_x0000_t75" style="height:597.75pt;width:432pt;" o:ole="t" filled="f" o:preferrelative="t" stroked="f" coordsize="21600,21600">
            <v:path/>
            <v:fill on="f" focussize="0,0"/>
            <v:stroke on="f" joinstyle="miter"/>
            <v:imagedata r:id="rId27" o:title=""/>
            <o:lock v:ext="edit" aspectratio="f"/>
            <w10:wrap type="none"/>
            <w10:anchorlock/>
          </v:shape>
          <o:OLEObject Type="Embed" ProgID="Excel.Sheet.12" ShapeID="_x0000_i1036" DrawAspect="Content" ObjectID="_1468075736" r:id="rId26">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7" o:spt="75" type="#_x0000_t75" style="height:609.95pt;width:457.8pt;" o:ole="t" filled="f" o:preferrelative="t" stroked="f" coordsize="21600,21600">
            <v:path/>
            <v:fill on="f" focussize="0,0"/>
            <v:stroke on="f" joinstyle="miter"/>
            <v:imagedata r:id="rId29" o:title=""/>
            <o:lock v:ext="edit" aspectratio="f"/>
            <w10:wrap type="none"/>
            <w10:anchorlock/>
          </v:shape>
          <o:OLEObject Type="Embed" ProgID="Excel.Sheet.12" ShapeID="_x0000_i1037" DrawAspect="Content" ObjectID="_1468075737" r:id="rId28">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8" o:spt="75" type="#_x0000_t75" style="height:597.05pt;width:434.05pt;" o:ole="t" filled="f" o:preferrelative="t" stroked="f" coordsize="21600,21600">
            <v:path/>
            <v:fill on="f" focussize="0,0"/>
            <v:stroke on="f" joinstyle="miter"/>
            <v:imagedata r:id="rId31" o:title=""/>
            <o:lock v:ext="edit" aspectratio="f"/>
            <w10:wrap type="none"/>
            <w10:anchorlock/>
          </v:shape>
          <o:OLEObject Type="Embed" ProgID="Excel.Sheet.12" ShapeID="_x0000_i1038" DrawAspect="Content" ObjectID="_1468075738" r:id="rId30">
            <o:LockedField>false</o:LockedField>
          </o:OLEObject>
        </w:objec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39" o:spt="75" type="#_x0000_t75" style="height:569.2pt;width:431.3pt;" o:ole="t" filled="f" o:preferrelative="t" stroked="f" coordsize="21600,21600">
            <v:path/>
            <v:fill on="f" focussize="0,0"/>
            <v:stroke on="f" joinstyle="miter"/>
            <v:imagedata r:id="rId33" o:title=""/>
            <o:lock v:ext="edit" aspectratio="f"/>
            <w10:wrap type="none"/>
            <w10:anchorlock/>
          </v:shape>
          <o:OLEObject Type="Embed" ProgID="Excel.Sheet.12" ShapeID="_x0000_i1039" DrawAspect="Content" ObjectID="_1468075739" r:id="rId32">
            <o:LockedField>false</o:LockedField>
          </o:OLEObject>
        </w:object>
      </w: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40" o:spt="75" type="#_x0000_t75" style="height:588.25pt;width:431.3pt;" o:ole="t" filled="f" o:preferrelative="t" stroked="f" coordsize="21600,21600">
            <v:path/>
            <v:fill on="f" focussize="0,0"/>
            <v:stroke on="f" joinstyle="miter"/>
            <v:imagedata r:id="rId35" o:title=""/>
            <o:lock v:ext="edit" aspectratio="f"/>
            <w10:wrap type="none"/>
            <w10:anchorlock/>
          </v:shape>
          <o:OLEObject Type="Embed" ProgID="Excel.Sheet.12" ShapeID="_x0000_i1040" DrawAspect="Content" ObjectID="_1468075740" r:id="rId34">
            <o:LockedField>false</o:LockedField>
          </o:OLEObject>
        </w:objec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line="360" w:lineRule="auto"/>
        <w:rPr>
          <w:rFonts w:ascii="仿宋_GB2312" w:hAnsi="Times New Roman" w:eastAsia="仿宋_GB2312" w:cs="仿宋_GB2312"/>
          <w:kern w:val="0"/>
          <w:sz w:val="32"/>
          <w:szCs w:val="32"/>
          <w:highlight w:val="none"/>
        </w:rPr>
      </w:pPr>
      <w:r>
        <w:rPr>
          <w:rFonts w:ascii="Times New Roman" w:hAnsi="Times New Roman" w:eastAsia="仿宋_GB2312" w:cs="仿宋_GB2312"/>
          <w:kern w:val="0"/>
          <w:sz w:val="32"/>
          <w:szCs w:val="32"/>
          <w:highlight w:val="none"/>
        </w:rPr>
        <w:object>
          <v:shape id="_x0000_i1041" o:spt="75" type="#_x0000_t75" style="height:594.35pt;width:431.3pt;" o:ole="t" filled="f" o:preferrelative="t" stroked="f" coordsize="21600,21600">
            <v:path/>
            <v:fill on="f" focussize="0,0"/>
            <v:stroke on="f" joinstyle="miter"/>
            <v:imagedata r:id="rId37" o:title=""/>
            <o:lock v:ext="edit" aspectratio="f"/>
            <w10:wrap type="none"/>
            <w10:anchorlock/>
          </v:shape>
          <o:OLEObject Type="Embed" ProgID="Excel.Sheet.12" ShapeID="_x0000_i1041" DrawAspect="Content" ObjectID="_1468075741" r:id="rId36">
            <o:LockedField>false</o:LockedField>
          </o:OLEObject>
        </w:object>
      </w:r>
    </w:p>
    <w:p>
      <w:pPr>
        <w:shd w:val="clear" w:color="auto" w:fill="FFFFFF"/>
        <w:autoSpaceDE w:val="0"/>
        <w:autoSpaceDN w:val="0"/>
        <w:adjustRightInd w:val="0"/>
        <w:spacing w:line="360" w:lineRule="auto"/>
        <w:ind w:firstLine="640"/>
        <w:rPr>
          <w:rFonts w:ascii="仿宋_GB2312" w:hAnsi="Times New Roman" w:eastAsia="仿宋_GB2312" w:cs="仿宋_GB2312"/>
          <w:kern w:val="0"/>
          <w:sz w:val="32"/>
          <w:szCs w:val="32"/>
          <w:highlight w:val="none"/>
        </w:rPr>
      </w:pPr>
    </w:p>
    <w:p>
      <w:pPr>
        <w:shd w:val="clear" w:color="auto" w:fill="FFFFFF"/>
        <w:autoSpaceDE w:val="0"/>
        <w:autoSpaceDN w:val="0"/>
        <w:adjustRightInd w:val="0"/>
        <w:spacing w:before="100" w:line="520" w:lineRule="exact"/>
        <w:rPr>
          <w:rFonts w:ascii="Times New Roman" w:hAnsi="Times New Roman" w:eastAsia="仿宋_GB2312"/>
          <w:kern w:val="0"/>
          <w:sz w:val="24"/>
          <w:szCs w:val="24"/>
          <w:highlight w:val="none"/>
        </w:rPr>
      </w:pPr>
    </w:p>
    <w:p>
      <w:pPr>
        <w:shd w:val="clear" w:color="auto" w:fill="FFFFFF"/>
        <w:autoSpaceDE w:val="0"/>
        <w:autoSpaceDN w:val="0"/>
        <w:adjustRightInd w:val="0"/>
        <w:spacing w:before="100" w:after="240"/>
        <w:jc w:val="center"/>
        <w:rPr>
          <w:rFonts w:ascii="Times New Roman" w:hAnsi="Times New Roman" w:eastAsia="黑体"/>
          <w:b/>
          <w:kern w:val="0"/>
          <w:sz w:val="28"/>
          <w:szCs w:val="28"/>
          <w:highlight w:val="none"/>
        </w:rPr>
      </w:pPr>
      <w:r>
        <w:rPr>
          <w:rFonts w:hint="eastAsia" w:ascii="黑体" w:hAnsi="Times New Roman" w:eastAsia="黑体" w:cs="黑体"/>
          <w:kern w:val="0"/>
          <w:sz w:val="32"/>
          <w:szCs w:val="32"/>
          <w:highlight w:val="none"/>
        </w:rPr>
        <w:t>第三部分</w:t>
      </w:r>
      <w:r>
        <w:rPr>
          <w:rFonts w:ascii="黑体" w:hAnsi="Times New Roman" w:eastAsia="黑体" w:cs="黑体"/>
          <w:kern w:val="0"/>
          <w:sz w:val="32"/>
          <w:szCs w:val="32"/>
          <w:highlight w:val="none"/>
        </w:rPr>
        <w:t xml:space="preserve"> </w:t>
      </w:r>
      <w:r>
        <w:rPr>
          <w:rFonts w:hint="eastAsia" w:ascii="黑体" w:hAnsi="Times New Roman" w:eastAsia="黑体" w:cs="黑体"/>
          <w:kern w:val="0"/>
          <w:sz w:val="32"/>
          <w:szCs w:val="32"/>
          <w:highlight w:val="none"/>
        </w:rPr>
        <w:t>专业名词解释</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财政拨款收入：指同级财政当年拨付的资金。</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上级补助收入：指事业单位从主管部门和上级单位取得的非财政补助收入。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事业收入：指事业单位开展专业业务活动及其辅助活动所取得的收入。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经营收入：指事业单位在专业业务活动及其辅助活动之外开展非独立核算经营活动取得的收入。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附属单位上缴收入：指事业单位附属的独立核算单位按有关规定上缴的收入。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其他收入：指除上述</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财政拨款收入</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事业收入</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经营收入</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附属单位上缴收入</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等之外取得的收入。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基本支出：指为保障机构正常运转、完成日常工作任务而发生的人员支出和公用支出。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项目支出：指在基本支出之外为完成特定行政任务和事业发展目标所发生的支出。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经营支出：指事业单位在专业业务活动及其辅助活动之外开展非独立核算经营活动发生的支出。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对附属单位补助支出：指事业单位发生的用非财政预算资金对附属单位的补助支出。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三公</w:t>
      </w:r>
      <w:r>
        <w:rPr>
          <w:rFonts w:ascii="Times New Roman" w:hAnsi="Times New Roman" w:eastAsia="仿宋_GB2312" w:cs="仿宋_GB2312"/>
          <w:kern w:val="0"/>
          <w:sz w:val="32"/>
          <w:szCs w:val="32"/>
          <w:highlight w:val="none"/>
        </w:rPr>
        <w:t>”</w:t>
      </w:r>
      <w:r>
        <w:rPr>
          <w:rFonts w:hint="eastAsia" w:ascii="仿宋_GB2312" w:hAnsi="Times New Roman" w:eastAsia="仿宋_GB2312" w:cs="仿宋_GB2312"/>
          <w:kern w:val="0"/>
          <w:sz w:val="32"/>
          <w:szCs w:val="32"/>
          <w:highlight w:val="none"/>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line="360" w:lineRule="auto"/>
        <w:ind w:firstLine="640"/>
        <w:rPr>
          <w:rFonts w:ascii="Times New Roman" w:hAnsi="Times New Roman" w:eastAsia="仿宋_GB2312"/>
          <w:kern w:val="0"/>
          <w:sz w:val="32"/>
          <w:szCs w:val="32"/>
          <w:highlight w:val="none"/>
        </w:rPr>
      </w:pPr>
      <w:r>
        <w:rPr>
          <w:rFonts w:hint="eastAsia" w:ascii="仿宋_GB2312" w:hAnsi="Times New Roman" w:eastAsia="仿宋_GB2312" w:cs="仿宋_GB2312"/>
          <w:kern w:val="0"/>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line="520" w:lineRule="exact"/>
        <w:rPr>
          <w:rFonts w:ascii="Times New Roman" w:hAnsi="Times New Roman" w:eastAsia="仿宋_GB2312"/>
          <w:kern w:val="0"/>
          <w:sz w:val="24"/>
          <w:szCs w:val="24"/>
          <w:highlight w:val="none"/>
        </w:rPr>
      </w:pPr>
    </w:p>
    <w:p>
      <w:pPr>
        <w:shd w:val="clear" w:color="auto" w:fill="FFFFFF"/>
        <w:autoSpaceDE w:val="0"/>
        <w:autoSpaceDN w:val="0"/>
        <w:adjustRightInd w:val="0"/>
        <w:spacing w:before="100" w:after="240"/>
        <w:jc w:val="center"/>
        <w:rPr>
          <w:rFonts w:ascii="Times New Roman" w:hAnsi="Times New Roman" w:eastAsia="黑体"/>
          <w:kern w:val="0"/>
          <w:sz w:val="32"/>
          <w:szCs w:val="32"/>
          <w:highlight w:val="none"/>
        </w:rPr>
      </w:pPr>
      <w:r>
        <w:rPr>
          <w:rFonts w:hint="eastAsia" w:ascii="黑体" w:hAnsi="Times New Roman" w:eastAsia="黑体" w:cs="黑体"/>
          <w:kern w:val="0"/>
          <w:sz w:val="32"/>
          <w:szCs w:val="32"/>
          <w:highlight w:val="none"/>
        </w:rPr>
        <w:t>第四部分</w:t>
      </w:r>
      <w:r>
        <w:rPr>
          <w:rFonts w:ascii="黑体" w:hAnsi="Times New Roman" w:eastAsia="黑体" w:cs="黑体"/>
          <w:kern w:val="0"/>
          <w:sz w:val="32"/>
          <w:szCs w:val="32"/>
          <w:highlight w:val="none"/>
        </w:rPr>
        <w:t xml:space="preserve"> </w:t>
      </w:r>
      <w:r>
        <w:rPr>
          <w:rFonts w:hint="eastAsia" w:ascii="黑体" w:hAnsi="Times New Roman" w:eastAsia="黑体" w:cs="黑体"/>
          <w:kern w:val="0"/>
          <w:sz w:val="32"/>
          <w:szCs w:val="32"/>
          <w:highlight w:val="none"/>
        </w:rPr>
        <w:t>部门决算报表（见附表）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一、《收入支出决算总表》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二、《收入决算表》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三、《支出决算表》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四、《财政拨款收入支出决算总表》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五、《一般公共预算财政拨款支出决算表》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六、《一般公共预算财政拨款基本支出决算表》</w:t>
      </w:r>
    </w:p>
    <w:p>
      <w:pPr>
        <w:autoSpaceDE w:val="0"/>
        <w:autoSpaceDN w:val="0"/>
        <w:adjustRightInd w:val="0"/>
        <w:spacing w:line="540" w:lineRule="exact"/>
        <w:ind w:firstLine="640"/>
        <w:rPr>
          <w:rFonts w:ascii="Times New Roman" w:hAnsi="Times New Roman" w:eastAsia="黑体"/>
          <w:sz w:val="32"/>
          <w:szCs w:val="32"/>
          <w:highlight w:val="none"/>
        </w:rPr>
      </w:pPr>
      <w:r>
        <w:rPr>
          <w:rFonts w:hint="eastAsia" w:ascii="黑体" w:hAnsi="Times New Roman" w:eastAsia="黑体" w:cs="黑体"/>
          <w:sz w:val="32"/>
          <w:szCs w:val="32"/>
          <w:highlight w:val="none"/>
        </w:rPr>
        <w:t>七、《一般公共预算财政拨款</w:t>
      </w:r>
      <w:r>
        <w:rPr>
          <w:rFonts w:ascii="Times New Roman" w:hAnsi="Times New Roman" w:eastAsia="黑体" w:cs="黑体"/>
          <w:sz w:val="32"/>
          <w:szCs w:val="32"/>
          <w:highlight w:val="none"/>
        </w:rPr>
        <w:t>“</w:t>
      </w:r>
      <w:r>
        <w:rPr>
          <w:rFonts w:hint="eastAsia" w:ascii="黑体" w:hAnsi="Times New Roman" w:eastAsia="黑体" w:cs="黑体"/>
          <w:sz w:val="32"/>
          <w:szCs w:val="32"/>
          <w:highlight w:val="none"/>
        </w:rPr>
        <w:t>三公</w:t>
      </w:r>
      <w:r>
        <w:rPr>
          <w:rFonts w:ascii="Times New Roman" w:hAnsi="Times New Roman" w:eastAsia="黑体" w:cs="黑体"/>
          <w:sz w:val="32"/>
          <w:szCs w:val="32"/>
          <w:highlight w:val="none"/>
        </w:rPr>
        <w:t>”</w:t>
      </w:r>
      <w:r>
        <w:rPr>
          <w:rFonts w:hint="eastAsia" w:ascii="黑体" w:hAnsi="Times New Roman" w:eastAsia="黑体" w:cs="黑体"/>
          <w:sz w:val="32"/>
          <w:szCs w:val="32"/>
          <w:highlight w:val="none"/>
        </w:rPr>
        <w:t>经费支出决算表》</w:t>
      </w:r>
    </w:p>
    <w:p>
      <w:pPr>
        <w:autoSpaceDE w:val="0"/>
        <w:autoSpaceDN w:val="0"/>
        <w:adjustRightInd w:val="0"/>
        <w:spacing w:line="540" w:lineRule="exact"/>
        <w:ind w:firstLine="640"/>
        <w:rPr>
          <w:rFonts w:ascii="Times New Roman" w:hAnsi="Times New Roman" w:eastAsia="黑体"/>
          <w:kern w:val="0"/>
          <w:sz w:val="32"/>
          <w:szCs w:val="32"/>
          <w:highlight w:val="none"/>
        </w:rPr>
      </w:pPr>
      <w:r>
        <w:rPr>
          <w:rFonts w:hint="eastAsia" w:ascii="黑体" w:hAnsi="Times New Roman" w:eastAsia="黑体" w:cs="黑体"/>
          <w:sz w:val="32"/>
          <w:szCs w:val="32"/>
          <w:highlight w:val="none"/>
        </w:rPr>
        <w:t>八、《政府性基金预算财政拨款收入支出决算表》</w:t>
      </w:r>
    </w:p>
    <w:p>
      <w:pPr>
        <w:autoSpaceDE w:val="0"/>
        <w:autoSpaceDN w:val="0"/>
        <w:adjustRightInd w:val="0"/>
        <w:spacing w:line="540" w:lineRule="exact"/>
        <w:ind w:firstLine="640"/>
        <w:rPr>
          <w:rFonts w:ascii="Times New Roman" w:hAnsi="Times New Roman" w:eastAsia="黑体"/>
          <w:kern w:val="0"/>
          <w:sz w:val="32"/>
          <w:szCs w:val="32"/>
          <w:highlight w:val="none"/>
        </w:rPr>
      </w:pPr>
      <w:r>
        <w:rPr>
          <w:rFonts w:hint="eastAsia" w:ascii="黑体" w:hAnsi="Times New Roman" w:eastAsia="黑体" w:cs="黑体"/>
          <w:sz w:val="32"/>
          <w:szCs w:val="32"/>
          <w:highlight w:val="none"/>
          <w:lang w:val="zh-CN"/>
        </w:rPr>
        <w:t>九</w:t>
      </w:r>
      <w:r>
        <w:rPr>
          <w:rFonts w:hint="eastAsia" w:ascii="黑体" w:hAnsi="Times New Roman" w:eastAsia="黑体" w:cs="黑体"/>
          <w:sz w:val="32"/>
          <w:szCs w:val="32"/>
          <w:highlight w:val="none"/>
        </w:rPr>
        <w:t>、《国有资本经营预算财政拨款收入支出决算表》</w:t>
      </w:r>
    </w:p>
    <w:p>
      <w:pPr>
        <w:autoSpaceDE w:val="0"/>
        <w:autoSpaceDN w:val="0"/>
        <w:adjustRightInd w:val="0"/>
        <w:jc w:val="left"/>
        <w:rPr>
          <w:rFonts w:ascii="Times New Roman" w:hAnsi="Times New Roman" w:eastAsia="黑体"/>
          <w:kern w:val="36"/>
          <w:sz w:val="40"/>
          <w:szCs w:val="40"/>
          <w:highlight w:val="none"/>
          <w:lang w:val="zh-CN"/>
        </w:rPr>
      </w:pPr>
    </w:p>
    <w:p>
      <w:pPr>
        <w:autoSpaceDE w:val="0"/>
        <w:autoSpaceDN w:val="0"/>
        <w:adjustRightInd w:val="0"/>
        <w:jc w:val="left"/>
        <w:rPr>
          <w:rFonts w:ascii="Times New Roman" w:hAnsi="Times New Roman" w:eastAsia="黑体"/>
          <w:kern w:val="36"/>
          <w:sz w:val="40"/>
          <w:szCs w:val="40"/>
          <w:highlight w:val="none"/>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MDRhODRlMzFmYmIxNTM5M2NkNjY1ZmE0ZGU5ZTgifQ=="/>
  </w:docVars>
  <w:rsids>
    <w:rsidRoot w:val="00277AE1"/>
    <w:rsid w:val="001E1E02"/>
    <w:rsid w:val="00277AE1"/>
    <w:rsid w:val="004068C1"/>
    <w:rsid w:val="0092734B"/>
    <w:rsid w:val="19140688"/>
    <w:rsid w:val="1DC0242F"/>
    <w:rsid w:val="31C73F18"/>
    <w:rsid w:val="4CAF79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locked/>
    <w:uiPriority w:val="99"/>
    <w:rPr>
      <w:rFonts w:ascii="Calibri" w:hAnsi="Calibri" w:cs="Times New Roman"/>
      <w:sz w:val="18"/>
      <w:szCs w:val="18"/>
    </w:rPr>
  </w:style>
  <w:style w:type="character" w:customStyle="1" w:styleId="7">
    <w:name w:val="页脚 字符"/>
    <w:link w:val="2"/>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8" Type="http://schemas.openxmlformats.org/officeDocument/2006/relationships/fontTable" Target="fontTable.xml"/><Relationship Id="rId37" Type="http://schemas.openxmlformats.org/officeDocument/2006/relationships/image" Target="media/image17.emf"/><Relationship Id="rId36" Type="http://schemas.openxmlformats.org/officeDocument/2006/relationships/oleObject" Target="embeddings/oleObject17.bin"/><Relationship Id="rId35" Type="http://schemas.openxmlformats.org/officeDocument/2006/relationships/image" Target="media/image16.emf"/><Relationship Id="rId34" Type="http://schemas.openxmlformats.org/officeDocument/2006/relationships/oleObject" Target="embeddings/oleObject16.bin"/><Relationship Id="rId33" Type="http://schemas.openxmlformats.org/officeDocument/2006/relationships/image" Target="media/image15.emf"/><Relationship Id="rId32" Type="http://schemas.openxmlformats.org/officeDocument/2006/relationships/oleObject" Target="embeddings/oleObject15.bin"/><Relationship Id="rId31" Type="http://schemas.openxmlformats.org/officeDocument/2006/relationships/image" Target="media/image14.emf"/><Relationship Id="rId30" Type="http://schemas.openxmlformats.org/officeDocument/2006/relationships/oleObject" Target="embeddings/oleObject14.bin"/><Relationship Id="rId3" Type="http://schemas.openxmlformats.org/officeDocument/2006/relationships/theme" Target="theme/theme1.xml"/><Relationship Id="rId29" Type="http://schemas.openxmlformats.org/officeDocument/2006/relationships/image" Target="media/image13.emf"/><Relationship Id="rId28" Type="http://schemas.openxmlformats.org/officeDocument/2006/relationships/oleObject" Target="embeddings/oleObject13.bin"/><Relationship Id="rId27" Type="http://schemas.openxmlformats.org/officeDocument/2006/relationships/image" Target="media/image12.emf"/><Relationship Id="rId26" Type="http://schemas.openxmlformats.org/officeDocument/2006/relationships/oleObject" Target="embeddings/oleObject12.bin"/><Relationship Id="rId25" Type="http://schemas.openxmlformats.org/officeDocument/2006/relationships/image" Target="media/image11.emf"/><Relationship Id="rId24" Type="http://schemas.openxmlformats.org/officeDocument/2006/relationships/oleObject" Target="embeddings/oleObject11.bin"/><Relationship Id="rId23" Type="http://schemas.openxmlformats.org/officeDocument/2006/relationships/image" Target="media/image10.emf"/><Relationship Id="rId22" Type="http://schemas.openxmlformats.org/officeDocument/2006/relationships/oleObject" Target="embeddings/oleObject10.bin"/><Relationship Id="rId21" Type="http://schemas.openxmlformats.org/officeDocument/2006/relationships/image" Target="media/image9.e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oleObject" Target="embeddings/oleObject8.bin"/><Relationship Id="rId17" Type="http://schemas.openxmlformats.org/officeDocument/2006/relationships/image" Target="media/image7.emf"/><Relationship Id="rId16" Type="http://schemas.openxmlformats.org/officeDocument/2006/relationships/oleObject" Target="embeddings/oleObject7.bin"/><Relationship Id="rId15" Type="http://schemas.openxmlformats.org/officeDocument/2006/relationships/image" Target="media/image6.emf"/><Relationship Id="rId14" Type="http://schemas.openxmlformats.org/officeDocument/2006/relationships/oleObject" Target="embeddings/oleObject6.bin"/><Relationship Id="rId13" Type="http://schemas.openxmlformats.org/officeDocument/2006/relationships/image" Target="media/image5.emf"/><Relationship Id="rId12" Type="http://schemas.openxmlformats.org/officeDocument/2006/relationships/oleObject" Target="embeddings/oleObject5.bin"/><Relationship Id="rId11" Type="http://schemas.openxmlformats.org/officeDocument/2006/relationships/image" Target="media/image4.e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5214</Words>
  <Characters>5781</Characters>
  <Lines>46</Lines>
  <Paragraphs>12</Paragraphs>
  <TotalTime>74</TotalTime>
  <ScaleCrop>false</ScaleCrop>
  <LinksUpToDate>false</LinksUpToDate>
  <CharactersWithSpaces>5793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2022-12-27T03:17:00Z</dcterms:created>
  <dc:creator>Administrator</dc:creator>
  <cp:lastModifiedBy>马康杰</cp:lastModifiedBy>
  <dcterms:modified xsi:type="dcterms:W3CDTF">2023-04-07T08:50:02Z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7FB8F00E864A4EF1A652E19658BB243A_13</vt:lpwstr>
  </property>
</Properties>
</file>