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outlineLvl w:val="1"/>
        <w:rPr>
          <w:rFonts w:ascii="黑体" w:hAnsi="黑体" w:eastAsia="黑体"/>
          <w:sz w:val="36"/>
          <w:szCs w:val="36"/>
        </w:rPr>
      </w:pPr>
      <w:r>
        <w:rPr>
          <w:rFonts w:hint="eastAsia" w:ascii="黑体" w:hAnsi="黑体" w:eastAsia="黑体"/>
          <w:sz w:val="36"/>
          <w:szCs w:val="36"/>
        </w:rPr>
        <w:t>高新区（新市区）石油新村街道办事处</w:t>
      </w:r>
    </w:p>
    <w:p>
      <w:pPr>
        <w:spacing w:line="300" w:lineRule="auto"/>
        <w:jc w:val="center"/>
        <w:outlineLvl w:val="1"/>
        <w:rPr>
          <w:rFonts w:ascii="黑体" w:hAnsi="黑体" w:eastAsia="黑体"/>
          <w:sz w:val="36"/>
          <w:szCs w:val="36"/>
        </w:rPr>
      </w:pPr>
      <w:r>
        <w:rPr>
          <w:rFonts w:hint="eastAsia" w:ascii="黑体" w:hAnsi="黑体" w:eastAsia="黑体"/>
          <w:sz w:val="36"/>
          <w:szCs w:val="36"/>
        </w:rPr>
        <w:t>2019年部门预算公开</w:t>
      </w:r>
    </w:p>
    <w:p>
      <w:pPr>
        <w:spacing w:line="300" w:lineRule="auto"/>
        <w:outlineLvl w:val="1"/>
        <w:rPr>
          <w:rFonts w:ascii="仿宋" w:hAnsi="仿宋" w:eastAsia="仿宋" w:cs="仿宋_GB2312"/>
          <w:b/>
          <w:sz w:val="36"/>
          <w:szCs w:val="36"/>
        </w:rPr>
      </w:pPr>
      <w:r>
        <w:rPr>
          <w:rFonts w:hint="eastAsia" w:ascii="仿宋" w:hAnsi="仿宋" w:eastAsia="仿宋" w:cs="仿宋_GB2312"/>
          <w:b/>
          <w:sz w:val="36"/>
          <w:szCs w:val="36"/>
        </w:rPr>
        <w:t xml:space="preserve">                      目录</w:t>
      </w:r>
    </w:p>
    <w:p>
      <w:pPr>
        <w:spacing w:line="300" w:lineRule="auto"/>
        <w:outlineLvl w:val="1"/>
        <w:rPr>
          <w:rFonts w:ascii="仿宋" w:hAnsi="仿宋" w:eastAsia="仿宋" w:cs="仿宋_GB2312"/>
          <w:sz w:val="30"/>
          <w:szCs w:val="30"/>
        </w:rPr>
      </w:pPr>
      <w:r>
        <w:rPr>
          <w:rFonts w:hint="eastAsia" w:ascii="仿宋" w:hAnsi="仿宋" w:eastAsia="仿宋" w:cs="仿宋_GB2312"/>
          <w:b/>
          <w:sz w:val="30"/>
          <w:szCs w:val="30"/>
        </w:rPr>
        <w:t xml:space="preserve">第一部分  </w:t>
      </w:r>
      <w:r>
        <w:rPr>
          <w:rFonts w:hint="eastAsia" w:ascii="仿宋" w:hAnsi="仿宋" w:eastAsia="仿宋" w:cs="仿宋_GB2312"/>
          <w:sz w:val="30"/>
          <w:szCs w:val="30"/>
        </w:rPr>
        <w:t>石油新村街道办事处单位概况</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一、主要职能</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二、机构设置及人员情况</w:t>
      </w:r>
    </w:p>
    <w:p>
      <w:pPr>
        <w:spacing w:line="300" w:lineRule="auto"/>
        <w:outlineLvl w:val="1"/>
        <w:rPr>
          <w:rFonts w:ascii="仿宋" w:hAnsi="仿宋" w:eastAsia="仿宋" w:cs="仿宋_GB2312"/>
          <w:b/>
          <w:sz w:val="30"/>
          <w:szCs w:val="30"/>
        </w:rPr>
      </w:pPr>
      <w:r>
        <w:rPr>
          <w:rFonts w:hint="eastAsia" w:ascii="仿宋" w:hAnsi="仿宋" w:eastAsia="仿宋" w:cs="仿宋_GB2312"/>
          <w:b/>
          <w:sz w:val="30"/>
          <w:szCs w:val="30"/>
        </w:rPr>
        <w:t>第二部分  2019年部门预算公开表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一、部门收支总体情况表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二、部门收入总体情况表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三、部门支出总体情况表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四、财政拨款收支总体情况表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五、一般公共预算支出情况表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六、一般公共预算基本支出情况表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七、一般公共预算</w:t>
      </w:r>
      <w:r>
        <w:rPr>
          <w:rFonts w:hint="eastAsia" w:ascii="仿宋" w:hAnsi="仿宋" w:eastAsia="仿宋" w:cs="仿宋_GB2312"/>
          <w:bCs/>
          <w:sz w:val="30"/>
          <w:szCs w:val="30"/>
        </w:rPr>
        <w:t>项目支出情况表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八、一般公共预算“三公”经费支出情况表</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九、政府性基金预算支出情况表</w:t>
      </w:r>
    </w:p>
    <w:p>
      <w:pPr>
        <w:spacing w:line="300" w:lineRule="auto"/>
        <w:outlineLvl w:val="1"/>
        <w:rPr>
          <w:rFonts w:ascii="仿宋" w:hAnsi="仿宋" w:eastAsia="仿宋" w:cs="仿宋_GB2312"/>
          <w:b/>
          <w:sz w:val="30"/>
          <w:szCs w:val="30"/>
        </w:rPr>
      </w:pPr>
      <w:r>
        <w:rPr>
          <w:rFonts w:hint="eastAsia" w:ascii="仿宋" w:hAnsi="仿宋" w:eastAsia="仿宋" w:cs="仿宋_GB2312"/>
          <w:b/>
          <w:sz w:val="30"/>
          <w:szCs w:val="30"/>
        </w:rPr>
        <w:t>第三部分  2019年部门预算情况说明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一、2019年收支预算情况的总体说明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二、2019年收入预算情况说明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三、2019年支出预算情况说明</w:t>
      </w:r>
    </w:p>
    <w:p>
      <w:pPr>
        <w:spacing w:line="300" w:lineRule="auto"/>
        <w:outlineLvl w:val="1"/>
        <w:rPr>
          <w:rFonts w:ascii="仿宋" w:hAnsi="仿宋" w:eastAsia="仿宋" w:cs="仿宋_GB2312"/>
          <w:bCs/>
          <w:sz w:val="30"/>
          <w:szCs w:val="30"/>
        </w:rPr>
      </w:pPr>
      <w:r>
        <w:rPr>
          <w:rFonts w:hint="eastAsia" w:ascii="仿宋" w:hAnsi="仿宋" w:eastAsia="仿宋" w:cs="仿宋_GB2312"/>
          <w:bCs/>
          <w:sz w:val="30"/>
          <w:szCs w:val="30"/>
        </w:rPr>
        <w:t>四、2019年财政拨款收支预算情况的总体说明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五、2019年一般公共预算当年拨款情况说明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六、2019年一般公共预算基本支出情况说明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七、2019年项目支出情况说明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八、2019年一般公共预算“三公”经费预算情况说明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九、2019年政府性基金预算拨款情况说明</w:t>
      </w:r>
    </w:p>
    <w:p>
      <w:pPr>
        <w:spacing w:line="300" w:lineRule="auto"/>
        <w:outlineLvl w:val="1"/>
        <w:rPr>
          <w:rFonts w:ascii="仿宋" w:hAnsi="仿宋" w:eastAsia="仿宋" w:cs="仿宋_GB2312"/>
          <w:sz w:val="30"/>
          <w:szCs w:val="30"/>
        </w:rPr>
      </w:pPr>
      <w:r>
        <w:rPr>
          <w:rFonts w:hint="eastAsia" w:ascii="仿宋" w:hAnsi="仿宋" w:eastAsia="仿宋" w:cs="仿宋_GB2312"/>
          <w:sz w:val="30"/>
          <w:szCs w:val="30"/>
        </w:rPr>
        <w:t>十、其他重要事项的情况说明</w:t>
      </w:r>
    </w:p>
    <w:p>
      <w:pPr>
        <w:spacing w:line="300" w:lineRule="auto"/>
        <w:outlineLvl w:val="1"/>
        <w:rPr>
          <w:rFonts w:ascii="仿宋" w:hAnsi="仿宋" w:eastAsia="仿宋" w:cs="仿宋_GB2312"/>
          <w:sz w:val="30"/>
          <w:szCs w:val="30"/>
        </w:rPr>
      </w:pPr>
      <w:r>
        <w:rPr>
          <w:rFonts w:hint="eastAsia" w:ascii="仿宋" w:hAnsi="仿宋" w:eastAsia="仿宋" w:cs="仿宋_GB2312"/>
          <w:b/>
          <w:sz w:val="30"/>
          <w:szCs w:val="30"/>
        </w:rPr>
        <w:t>第四部分  名词解释</w:t>
      </w:r>
    </w:p>
    <w:p>
      <w:pPr>
        <w:spacing w:line="300" w:lineRule="auto"/>
        <w:jc w:val="center"/>
        <w:outlineLvl w:val="1"/>
        <w:rPr>
          <w:rFonts w:ascii="黑体" w:hAnsi="黑体" w:eastAsia="黑体" w:cs="仿宋_GB2312"/>
          <w:b/>
          <w:sz w:val="32"/>
          <w:szCs w:val="32"/>
        </w:rPr>
      </w:pPr>
      <w:r>
        <w:rPr>
          <w:rFonts w:hint="eastAsia" w:ascii="黑体" w:hAnsi="黑体" w:eastAsia="黑体" w:cs="仿宋_GB2312"/>
          <w:b/>
          <w:sz w:val="32"/>
          <w:szCs w:val="32"/>
        </w:rPr>
        <w:t>第一部分   石油新村街道办事处单位概况</w:t>
      </w:r>
    </w:p>
    <w:p>
      <w:pPr>
        <w:spacing w:line="300" w:lineRule="auto"/>
        <w:jc w:val="center"/>
        <w:outlineLvl w:val="1"/>
        <w:rPr>
          <w:rFonts w:ascii="仿宋" w:hAnsi="仿宋" w:eastAsia="仿宋" w:cs="仿宋_GB2312"/>
          <w:b/>
          <w:sz w:val="30"/>
          <w:szCs w:val="30"/>
        </w:rPr>
      </w:pPr>
    </w:p>
    <w:p>
      <w:pPr>
        <w:spacing w:line="360" w:lineRule="auto"/>
        <w:rPr>
          <w:rFonts w:ascii="黑体" w:hAnsi="黑体" w:eastAsia="黑体" w:cs="仿宋_GB2312"/>
          <w:bCs/>
          <w:sz w:val="30"/>
          <w:szCs w:val="30"/>
        </w:rPr>
      </w:pPr>
      <w:r>
        <w:rPr>
          <w:rFonts w:hint="eastAsia" w:ascii="仿宋" w:hAnsi="仿宋" w:eastAsia="仿宋" w:cs="仿宋_GB2312"/>
          <w:sz w:val="30"/>
          <w:szCs w:val="30"/>
        </w:rPr>
        <w:t xml:space="preserve">　 </w:t>
      </w:r>
      <w:r>
        <w:rPr>
          <w:rFonts w:hint="eastAsia" w:ascii="黑体" w:hAnsi="黑体" w:eastAsia="黑体" w:cs="仿宋_GB2312"/>
          <w:sz w:val="30"/>
          <w:szCs w:val="30"/>
        </w:rPr>
        <w:t xml:space="preserve"> </w:t>
      </w:r>
      <w:r>
        <w:rPr>
          <w:rFonts w:hint="eastAsia" w:ascii="黑体" w:hAnsi="黑体" w:eastAsia="黑体" w:cs="仿宋_GB2312"/>
          <w:bCs/>
          <w:sz w:val="30"/>
          <w:szCs w:val="30"/>
        </w:rPr>
        <w:t>一、主要职能</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1.受区委、管委会（区人民政府）委托，统一领导和管理辖区党务、行政和社会事务工作，促进片区和谐发展。</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2.拟订片区发展规划，提出强化“两个机制”、夯实基层基础工作的建议和措施，并组织实施。</w:t>
      </w:r>
    </w:p>
    <w:p>
      <w:pPr>
        <w:spacing w:line="360" w:lineRule="auto"/>
        <w:rPr>
          <w:rFonts w:ascii="仿宋" w:hAnsi="仿宋" w:eastAsia="仿宋" w:cs="仿宋_GB2312"/>
          <w:sz w:val="30"/>
          <w:szCs w:val="30"/>
        </w:rPr>
      </w:pPr>
      <w:r>
        <w:rPr>
          <w:rFonts w:hint="eastAsia" w:ascii="仿宋" w:hAnsi="仿宋" w:eastAsia="仿宋" w:cs="仿宋_GB2312"/>
          <w:sz w:val="30"/>
          <w:szCs w:val="30"/>
        </w:rPr>
        <w:t xml:space="preserve">    3.统筹整合辖区行政资源、社会资源和公共服务资源，综合协调相关职能部门和驻区企事业单位，为辖区居民提供民生保障、社会治安、城市管理等综合服务。</w:t>
      </w:r>
    </w:p>
    <w:p>
      <w:pPr>
        <w:spacing w:line="360" w:lineRule="auto"/>
        <w:ind w:firstLine="630"/>
        <w:rPr>
          <w:rFonts w:ascii="仿宋" w:hAnsi="仿宋" w:eastAsia="仿宋" w:cs="仿宋_GB2312"/>
          <w:sz w:val="30"/>
          <w:szCs w:val="30"/>
        </w:rPr>
      </w:pPr>
      <w:r>
        <w:rPr>
          <w:rFonts w:hint="eastAsia" w:ascii="仿宋" w:hAnsi="仿宋" w:eastAsia="仿宋" w:cs="仿宋_GB2312"/>
          <w:sz w:val="30"/>
          <w:szCs w:val="30"/>
        </w:rPr>
        <w:t>4.对相关职能部门和驻区企事业单位履行社会管理和公共服务职能情况进行监督、检查和考核。</w:t>
      </w:r>
    </w:p>
    <w:p>
      <w:pPr>
        <w:spacing w:line="360" w:lineRule="auto"/>
        <w:rPr>
          <w:rFonts w:ascii="黑体" w:hAnsi="黑体" w:eastAsia="黑体" w:cs="仿宋_GB2312"/>
          <w:bCs/>
          <w:sz w:val="30"/>
          <w:szCs w:val="30"/>
        </w:rPr>
      </w:pPr>
      <w:r>
        <w:rPr>
          <w:rFonts w:hint="eastAsia" w:ascii="仿宋" w:hAnsi="仿宋" w:eastAsia="仿宋" w:cs="仿宋_GB2312"/>
          <w:sz w:val="30"/>
          <w:szCs w:val="30"/>
        </w:rPr>
        <w:t xml:space="preserve">　  </w:t>
      </w:r>
      <w:r>
        <w:rPr>
          <w:rFonts w:hint="eastAsia" w:ascii="黑体" w:hAnsi="黑体" w:eastAsia="黑体" w:cs="仿宋_GB2312"/>
          <w:bCs/>
          <w:sz w:val="30"/>
          <w:szCs w:val="30"/>
        </w:rPr>
        <w:t>二、机构设置及人员情况</w:t>
      </w:r>
    </w:p>
    <w:p>
      <w:pPr>
        <w:spacing w:line="360" w:lineRule="auto"/>
        <w:ind w:firstLine="630"/>
        <w:rPr>
          <w:rFonts w:ascii="仿宋" w:hAnsi="仿宋" w:eastAsia="仿宋" w:cs="仿宋_GB2312"/>
          <w:sz w:val="30"/>
          <w:szCs w:val="30"/>
        </w:rPr>
      </w:pPr>
      <w:r>
        <w:rPr>
          <w:rFonts w:hint="eastAsia" w:ascii="仿宋" w:hAnsi="仿宋" w:eastAsia="仿宋" w:cs="仿宋_GB2312"/>
          <w:sz w:val="30"/>
          <w:szCs w:val="30"/>
        </w:rPr>
        <w:t>（一）内设机构：</w:t>
      </w:r>
    </w:p>
    <w:p>
      <w:pPr>
        <w:tabs>
          <w:tab w:val="left" w:pos="8280"/>
        </w:tabs>
        <w:spacing w:line="360" w:lineRule="auto"/>
        <w:ind w:right="25" w:rightChars="12" w:firstLine="640" w:firstLineChars="200"/>
        <w:rPr>
          <w:rFonts w:ascii="仿宋" w:hAnsi="仿宋" w:eastAsia="仿宋" w:cs="仿宋_GB2312"/>
          <w:sz w:val="30"/>
          <w:szCs w:val="30"/>
        </w:rPr>
      </w:pPr>
      <w:r>
        <w:rPr>
          <w:rFonts w:hint="eastAsia" w:ascii="仿宋_GB2312" w:hAnsi="黑体" w:eastAsia="仿宋_GB2312" w:cs="宋体"/>
          <w:bCs/>
          <w:kern w:val="0"/>
          <w:sz w:val="32"/>
          <w:szCs w:val="32"/>
        </w:rPr>
        <w:t>本单位无下属预算单位，</w:t>
      </w:r>
      <w:r>
        <w:rPr>
          <w:rFonts w:hint="eastAsia" w:ascii="仿宋" w:hAnsi="仿宋" w:eastAsia="仿宋" w:cs="仿宋_GB2312"/>
          <w:sz w:val="30"/>
          <w:szCs w:val="30"/>
        </w:rPr>
        <w:t>下设5个职能处（室），分别是：1个党政办公室，1个参照公务员管理的事业单位，3个全额拨款事业单位，所辖13个社区:石油新村计区、商运司社区、外运司社区、工运司社区、九家湾路北社区、九家湾社区、锦域社区、红庙社区、阿勒泰路社区、锦峰社区、锦山社区、景宁社区、明山社区；16个便民警务站。</w:t>
      </w:r>
    </w:p>
    <w:p>
      <w:pPr>
        <w:tabs>
          <w:tab w:val="left" w:pos="8280"/>
        </w:tabs>
        <w:spacing w:line="360" w:lineRule="auto"/>
        <w:ind w:right="25" w:rightChars="12" w:firstLine="600" w:firstLineChars="200"/>
        <w:rPr>
          <w:rFonts w:ascii="仿宋" w:hAnsi="仿宋" w:eastAsia="仿宋" w:cs="仿宋_GB2312"/>
          <w:sz w:val="30"/>
          <w:szCs w:val="30"/>
        </w:rPr>
      </w:pPr>
      <w:r>
        <w:rPr>
          <w:rFonts w:hint="eastAsia" w:ascii="仿宋" w:hAnsi="仿宋" w:eastAsia="仿宋" w:cs="仿宋_GB2312"/>
          <w:sz w:val="30"/>
          <w:szCs w:val="30"/>
        </w:rPr>
        <w:t>（二）人员编制：</w:t>
      </w:r>
    </w:p>
    <w:p>
      <w:pPr>
        <w:spacing w:line="360" w:lineRule="auto"/>
        <w:ind w:firstLine="600" w:firstLineChars="200"/>
        <w:rPr>
          <w:rFonts w:ascii="仿宋_GB2312" w:hAnsi="宋体" w:eastAsia="仿宋_GB2312" w:cs="宋体"/>
          <w:kern w:val="0"/>
          <w:sz w:val="32"/>
          <w:szCs w:val="32"/>
        </w:rPr>
      </w:pPr>
      <w:r>
        <w:rPr>
          <w:rFonts w:hint="eastAsia" w:ascii="仿宋" w:hAnsi="仿宋" w:eastAsia="仿宋" w:cs="仿宋_GB2312"/>
          <w:sz w:val="30"/>
          <w:szCs w:val="30"/>
        </w:rPr>
        <w:t>本单位编制人数110人，实有人数122人，其中：在职人数122人，增加或减少0人；退休0人，增加或减少0人；离休0人，增加或减少 0人。</w:t>
      </w: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编制部门：石油新村街道办事处                                             单位：万元</w:t>
      </w:r>
    </w:p>
    <w:tbl>
      <w:tblPr>
        <w:tblStyle w:val="7"/>
        <w:tblW w:w="8100" w:type="dxa"/>
        <w:tblInd w:w="93" w:type="dxa"/>
        <w:tblLayout w:type="fixed"/>
        <w:tblCellMar>
          <w:top w:w="0" w:type="dxa"/>
          <w:left w:w="108" w:type="dxa"/>
          <w:bottom w:w="0" w:type="dxa"/>
          <w:right w:w="108" w:type="dxa"/>
        </w:tblCellMar>
      </w:tblPr>
      <w:tblGrid>
        <w:gridCol w:w="2280"/>
        <w:gridCol w:w="1620"/>
        <w:gridCol w:w="2740"/>
        <w:gridCol w:w="1460"/>
      </w:tblGrid>
      <w:tr>
        <w:tblPrEx>
          <w:tblLayout w:type="fixed"/>
          <w:tblCellMar>
            <w:top w:w="0" w:type="dxa"/>
            <w:left w:w="108" w:type="dxa"/>
            <w:bottom w:w="0" w:type="dxa"/>
            <w:right w:w="108" w:type="dxa"/>
          </w:tblCellMar>
        </w:tblPrEx>
        <w:trPr>
          <w:trHeight w:val="345" w:hRule="atLeast"/>
        </w:trPr>
        <w:tc>
          <w:tcPr>
            <w:tcW w:w="390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420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345"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6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c>
          <w:tcPr>
            <w:tcW w:w="27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46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1,543.37</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2,673.70</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1,142.56</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228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4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r>
    </w:tbl>
    <w:p>
      <w:pPr>
        <w:widowControl/>
        <w:jc w:val="left"/>
        <w:outlineLvl w:val="1"/>
        <w:rPr>
          <w:rFonts w:ascii="仿宋_GB2312" w:hAnsi="宋体" w:eastAsia="仿宋_GB2312"/>
          <w:b/>
          <w:kern w:val="0"/>
          <w:sz w:val="10"/>
          <w:szCs w:val="10"/>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填报部门：石油新村街道办事处                                                 单位：万元</w:t>
      </w:r>
    </w:p>
    <w:tbl>
      <w:tblPr>
        <w:tblStyle w:val="7"/>
        <w:tblW w:w="9560" w:type="dxa"/>
        <w:tblInd w:w="93" w:type="dxa"/>
        <w:tblLayout w:type="fixed"/>
        <w:tblCellMar>
          <w:top w:w="0" w:type="dxa"/>
          <w:left w:w="108" w:type="dxa"/>
          <w:bottom w:w="0" w:type="dxa"/>
          <w:right w:w="108" w:type="dxa"/>
        </w:tblCellMar>
      </w:tblPr>
      <w:tblGrid>
        <w:gridCol w:w="940"/>
        <w:gridCol w:w="620"/>
        <w:gridCol w:w="420"/>
        <w:gridCol w:w="1480"/>
        <w:gridCol w:w="1140"/>
        <w:gridCol w:w="1060"/>
        <w:gridCol w:w="600"/>
        <w:gridCol w:w="560"/>
        <w:gridCol w:w="520"/>
        <w:gridCol w:w="480"/>
        <w:gridCol w:w="500"/>
        <w:gridCol w:w="600"/>
        <w:gridCol w:w="640"/>
      </w:tblGrid>
      <w:tr>
        <w:tblPrEx>
          <w:tblLayout w:type="fixed"/>
          <w:tblCellMar>
            <w:top w:w="0" w:type="dxa"/>
            <w:left w:w="108" w:type="dxa"/>
            <w:bottom w:w="0" w:type="dxa"/>
            <w:right w:w="108" w:type="dxa"/>
          </w:tblCellMar>
        </w:tblPrEx>
        <w:trPr>
          <w:trHeight w:val="345" w:hRule="atLeast"/>
        </w:trPr>
        <w:tc>
          <w:tcPr>
            <w:tcW w:w="1980"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148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预算单位</w:t>
            </w:r>
          </w:p>
        </w:tc>
        <w:tc>
          <w:tcPr>
            <w:tcW w:w="114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总计</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一般公共预算拨款</w:t>
            </w:r>
          </w:p>
        </w:tc>
        <w:tc>
          <w:tcPr>
            <w:tcW w:w="60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政府性基金预算</w:t>
            </w:r>
          </w:p>
        </w:tc>
        <w:tc>
          <w:tcPr>
            <w:tcW w:w="56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教育收费(财政专户)</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事业收入</w:t>
            </w:r>
          </w:p>
        </w:tc>
        <w:tc>
          <w:tcPr>
            <w:tcW w:w="48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Default" w:hAnsi="Default" w:cs="Arial"/>
                <w:kern w:val="0"/>
                <w:sz w:val="20"/>
                <w:szCs w:val="20"/>
              </w:rPr>
            </w:pPr>
            <w:r>
              <w:rPr>
                <w:rFonts w:ascii="Default" w:hAnsi="Default" w:cs="Arial"/>
                <w:kern w:val="0"/>
                <w:sz w:val="20"/>
                <w:szCs w:val="20"/>
              </w:rPr>
              <w:t>事业单位经营收入</w:t>
            </w:r>
          </w:p>
        </w:tc>
        <w:tc>
          <w:tcPr>
            <w:tcW w:w="50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其他收入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用事业基金弥补收支差额</w:t>
            </w:r>
          </w:p>
        </w:tc>
        <w:tc>
          <w:tcPr>
            <w:tcW w:w="64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财政拨款结转结余(小计)</w:t>
            </w:r>
          </w:p>
        </w:tc>
      </w:tr>
      <w:tr>
        <w:tblPrEx>
          <w:tblLayout w:type="fixed"/>
          <w:tblCellMar>
            <w:top w:w="0" w:type="dxa"/>
            <w:left w:w="108" w:type="dxa"/>
            <w:bottom w:w="0" w:type="dxa"/>
            <w:right w:w="108" w:type="dxa"/>
          </w:tblCellMar>
        </w:tblPrEx>
        <w:trPr>
          <w:trHeight w:val="1755" w:hRule="atLeast"/>
        </w:trPr>
        <w:tc>
          <w:tcPr>
            <w:tcW w:w="94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类</w:t>
            </w:r>
          </w:p>
        </w:tc>
        <w:tc>
          <w:tcPr>
            <w:tcW w:w="620"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款</w:t>
            </w:r>
          </w:p>
        </w:tc>
        <w:tc>
          <w:tcPr>
            <w:tcW w:w="420" w:type="dxa"/>
            <w:tcBorders>
              <w:top w:val="nil"/>
              <w:left w:val="nil"/>
              <w:bottom w:val="single" w:color="000000" w:sz="4" w:space="0"/>
              <w:right w:val="single" w:color="000000" w:sz="4" w:space="0"/>
            </w:tcBorders>
            <w:shd w:val="clear" w:color="000000" w:fill="FFFFFF"/>
            <w:vAlign w:val="center"/>
          </w:tcPr>
          <w:p>
            <w:pPr>
              <w:widowControl/>
              <w:jc w:val="center"/>
              <w:rPr>
                <w:rFonts w:ascii="Default" w:hAnsi="Default" w:cs="Arial"/>
                <w:kern w:val="0"/>
                <w:sz w:val="20"/>
                <w:szCs w:val="20"/>
              </w:rPr>
            </w:pPr>
            <w:r>
              <w:rPr>
                <w:rFonts w:ascii="Default" w:hAnsi="Default" w:cs="Arial"/>
                <w:kern w:val="0"/>
                <w:sz w:val="20"/>
                <w:szCs w:val="20"/>
              </w:rPr>
              <w:t>项</w:t>
            </w:r>
          </w:p>
        </w:tc>
        <w:tc>
          <w:tcPr>
            <w:tcW w:w="1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14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10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0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6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2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48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50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Default" w:hAnsi="Default" w:cs="Arial"/>
                <w:kern w:val="0"/>
                <w:sz w:val="20"/>
                <w:szCs w:val="20"/>
              </w:rPr>
            </w:pPr>
          </w:p>
        </w:tc>
        <w:tc>
          <w:tcPr>
            <w:tcW w:w="640" w:type="dxa"/>
            <w:vMerge w:val="continue"/>
            <w:tcBorders>
              <w:top w:val="single" w:color="000000" w:sz="4" w:space="0"/>
              <w:left w:val="nil"/>
              <w:bottom w:val="single" w:color="000000" w:sz="4" w:space="0"/>
              <w:right w:val="single" w:color="000000" w:sz="4" w:space="0"/>
            </w:tcBorders>
            <w:vAlign w:val="center"/>
          </w:tcPr>
          <w:p>
            <w:pPr>
              <w:widowControl/>
              <w:jc w:val="left"/>
              <w:rPr>
                <w:rFonts w:ascii="Default" w:hAnsi="Default" w:cs="Arial"/>
                <w:kern w:val="0"/>
                <w:sz w:val="20"/>
                <w:szCs w:val="20"/>
              </w:rPr>
            </w:pP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石油新村（其它公共安全支出）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2,385.68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2,385.68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2,382.10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2,382.10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2,350.90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2,350.90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2,350.90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2,350.90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06</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司法</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31.20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31.20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06</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31.20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31.20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石油新村（基层政权和社区建设）</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2,507.10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2,507.10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1,107.69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1,107.69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121.17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121.17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121.17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121.17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02</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民政管理事务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986.52</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986.52</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02</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08</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基层政权和社区建设</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986.52</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986.52</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238.14</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1,161.27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石油新村(计划生育事务）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46.86</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46.86</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210</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卫生健康支出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07</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计划生育事务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07</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其他计划生育事务支出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3.78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7.29</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石油新村（政府办公厅及相关机构事务）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455.78</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455.78</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社会保障和就业支出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行政事业单位离退休</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05</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05</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机关事业单位基本养老保险缴费支出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27.51</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99</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其他公共安全支出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46.17</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一般公共服务支出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382.10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382.10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政府办公厅（室）及相关机构事务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382.10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382.10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9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99</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其他政府办公厅（室）及相关机构事务支出</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100.00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03</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01</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行政运行</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282.10</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282.10</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94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6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42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8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总计:</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10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6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48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5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0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6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r>
    </w:tbl>
    <w:p>
      <w:pPr>
        <w:widowControl/>
        <w:outlineLvl w:val="1"/>
        <w:rPr>
          <w:rFonts w:hint="eastAsia" w:ascii="仿宋_GB2312" w:hAnsi="宋体" w:eastAsia="仿宋_GB2312"/>
          <w:b/>
          <w:kern w:val="0"/>
          <w:sz w:val="28"/>
          <w:szCs w:val="32"/>
        </w:rPr>
      </w:pPr>
    </w:p>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编制部门：石油新村街道办事处                                                    单位：万元</w:t>
      </w:r>
    </w:p>
    <w:tbl>
      <w:tblPr>
        <w:tblStyle w:val="7"/>
        <w:tblW w:w="9229" w:type="dxa"/>
        <w:tblInd w:w="93" w:type="dxa"/>
        <w:tblLayout w:type="fixed"/>
        <w:tblCellMar>
          <w:top w:w="0" w:type="dxa"/>
          <w:left w:w="108" w:type="dxa"/>
          <w:bottom w:w="0" w:type="dxa"/>
          <w:right w:w="108" w:type="dxa"/>
        </w:tblCellMar>
      </w:tblPr>
      <w:tblGrid>
        <w:gridCol w:w="565"/>
        <w:gridCol w:w="443"/>
        <w:gridCol w:w="425"/>
        <w:gridCol w:w="4111"/>
        <w:gridCol w:w="1134"/>
        <w:gridCol w:w="1275"/>
        <w:gridCol w:w="1276"/>
      </w:tblGrid>
      <w:tr>
        <w:tblPrEx>
          <w:tblLayout w:type="fixed"/>
          <w:tblCellMar>
            <w:top w:w="0" w:type="dxa"/>
            <w:left w:w="108" w:type="dxa"/>
            <w:bottom w:w="0" w:type="dxa"/>
            <w:right w:w="108" w:type="dxa"/>
          </w:tblCellMar>
        </w:tblPrEx>
        <w:trPr>
          <w:trHeight w:val="345" w:hRule="atLeast"/>
        </w:trPr>
        <w:tc>
          <w:tcPr>
            <w:tcW w:w="554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368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411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27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56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41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13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总计:</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5,395.42</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1,962.86</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3,432.56</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石油新村（政府办公厅及相关机构事务）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455.78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355.78</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100.00</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201</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一般公共服务支出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382.10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282.10</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100.00</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201</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03</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政府办公厅（室）及相关机构事务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382.10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282.10</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100.00</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201</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03</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行政运行</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282.10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282.10</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201</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03</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99</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其他政府办公厅（室）及相关机构事务支出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100.00</w:t>
            </w:r>
          </w:p>
        </w:tc>
        <w:tc>
          <w:tcPr>
            <w:tcW w:w="1275"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100.00</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204</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99</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99</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46.17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208</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社会保障和就业支出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05</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行政事业单位离退休</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05</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05</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机关事业单位基本养老保险缴费支出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27.51</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石油新村(计划生育事务）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46.86</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46.86</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204</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99</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99</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7.29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208</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社会保障和就业支出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05</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行政事业单位离退休</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05</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05</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机关事业单位基本养老保险缴费支出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3.78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210</w:t>
            </w: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医疗卫生与计划生育支出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210</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07</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计划生育事务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210</w:t>
            </w:r>
          </w:p>
        </w:tc>
        <w:tc>
          <w:tcPr>
            <w:tcW w:w="443"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 xml:space="preserve">      07</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99</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其他计划生育事务支出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35.79</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b/>
                <w:bCs/>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43"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b/>
                <w:bCs/>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石油新村（基层政权和社区建设）</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2,507.10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1,520.58</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b/>
                <w:bCs/>
                <w:color w:val="000000"/>
                <w:sz w:val="18"/>
                <w:szCs w:val="18"/>
              </w:rPr>
            </w:pPr>
            <w:r>
              <w:rPr>
                <w:rFonts w:hint="eastAsia" w:cs="仿宋_GB2312" w:asciiTheme="majorEastAsia" w:hAnsiTheme="majorEastAsia" w:eastAsiaTheme="majorEastAsia"/>
                <w:color w:val="000000"/>
                <w:sz w:val="18"/>
                <w:szCs w:val="18"/>
              </w:rPr>
              <w:t>986.52</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201</w:t>
            </w: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一般公共服务支出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201</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03</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政府办公厅（室）及相关机构事务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201</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03</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行政运行</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1,161.27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204</w:t>
            </w: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99</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99</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238.14</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208</w:t>
            </w: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社会保障和就业支出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1,107.69</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121.17</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986.52</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02</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民政管理事务</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986.52</w:t>
            </w:r>
          </w:p>
        </w:tc>
        <w:tc>
          <w:tcPr>
            <w:tcW w:w="1275"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986.52</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02</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08</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基层政权和社区建设</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986.52</w:t>
            </w:r>
          </w:p>
        </w:tc>
        <w:tc>
          <w:tcPr>
            <w:tcW w:w="1275"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986.52</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05</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行政事业单位离退休</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121.17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121.17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05</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05</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机关事业单位基本养老保险缴费支出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121.17</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121.17</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石油新村（其它公共安全支出）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2,385.68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39.64</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2,346.04</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204</w:t>
            </w: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2,382.10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36.06</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2,346.04</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06</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司法</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31.20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31.20</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06</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行政运行</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31.20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31.20</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99</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2,350.90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4.86</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2,346.04</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204</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99</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01</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其他公共安全支出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2,350.90</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4.86</w:t>
            </w:r>
          </w:p>
        </w:tc>
        <w:tc>
          <w:tcPr>
            <w:tcW w:w="1276"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2,346.04</w:t>
            </w: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208</w:t>
            </w:r>
          </w:p>
        </w:tc>
        <w:tc>
          <w:tcPr>
            <w:tcW w:w="443" w:type="dxa"/>
            <w:tcBorders>
              <w:top w:val="single" w:color="auto" w:sz="4" w:space="0"/>
              <w:left w:val="nil"/>
              <w:bottom w:val="single" w:color="auto" w:sz="4" w:space="0"/>
              <w:right w:val="single" w:color="auto" w:sz="4" w:space="0"/>
            </w:tcBorders>
            <w:shd w:val="clear" w:color="auto" w:fill="auto"/>
            <w:noWrap/>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社会保障和就业支出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05</w:t>
            </w:r>
          </w:p>
        </w:tc>
        <w:tc>
          <w:tcPr>
            <w:tcW w:w="425" w:type="dxa"/>
            <w:tcBorders>
              <w:top w:val="single" w:color="auto" w:sz="4" w:space="0"/>
              <w:left w:val="nil"/>
              <w:bottom w:val="single" w:color="auto" w:sz="4" w:space="0"/>
              <w:right w:val="single" w:color="auto" w:sz="4" w:space="0"/>
            </w:tcBorders>
            <w:shd w:val="clear" w:color="auto" w:fill="auto"/>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行政事业单位离退休</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208</w:t>
            </w:r>
          </w:p>
        </w:tc>
        <w:tc>
          <w:tcPr>
            <w:tcW w:w="443" w:type="dxa"/>
            <w:tcBorders>
              <w:top w:val="single" w:color="auto" w:sz="4" w:space="0"/>
              <w:left w:val="nil"/>
              <w:bottom w:val="single" w:color="auto" w:sz="4" w:space="0"/>
              <w:right w:val="single" w:color="auto" w:sz="4" w:space="0"/>
            </w:tcBorders>
            <w:shd w:val="clear" w:color="auto" w:fill="auto"/>
            <w:noWrap/>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 xml:space="preserve">      05</w:t>
            </w:r>
          </w:p>
        </w:tc>
        <w:tc>
          <w:tcPr>
            <w:tcW w:w="425"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05</w:t>
            </w:r>
          </w:p>
        </w:tc>
        <w:tc>
          <w:tcPr>
            <w:tcW w:w="4111" w:type="dxa"/>
            <w:tcBorders>
              <w:top w:val="single" w:color="auto" w:sz="4" w:space="0"/>
              <w:left w:val="nil"/>
              <w:bottom w:val="single" w:color="auto" w:sz="4" w:space="0"/>
              <w:right w:val="single" w:color="auto" w:sz="4" w:space="0"/>
            </w:tcBorders>
            <w:shd w:val="clear" w:color="auto" w:fill="auto"/>
          </w:tcPr>
          <w:p>
            <w:pPr>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机关事业单位基本养老保险缴费支出</w:t>
            </w:r>
          </w:p>
        </w:tc>
        <w:tc>
          <w:tcPr>
            <w:tcW w:w="1134"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5" w:type="dxa"/>
            <w:tcBorders>
              <w:top w:val="single" w:color="auto" w:sz="4" w:space="0"/>
              <w:left w:val="nil"/>
              <w:bottom w:val="single" w:color="auto" w:sz="4" w:space="0"/>
              <w:right w:val="single" w:color="auto" w:sz="4" w:space="0"/>
            </w:tcBorders>
            <w:shd w:val="clear" w:color="auto" w:fill="auto"/>
          </w:tcPr>
          <w:p>
            <w:pPr>
              <w:jc w:val="right"/>
              <w:textAlignment w:val="top"/>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3.58</w:t>
            </w:r>
          </w:p>
        </w:tc>
        <w:tc>
          <w:tcPr>
            <w:tcW w:w="1276" w:type="dxa"/>
            <w:tcBorders>
              <w:top w:val="single" w:color="auto" w:sz="4" w:space="0"/>
              <w:left w:val="nil"/>
              <w:bottom w:val="single" w:color="auto" w:sz="4" w:space="0"/>
              <w:right w:val="single" w:color="auto" w:sz="4" w:space="0"/>
            </w:tcBorders>
            <w:shd w:val="clear" w:color="auto" w:fill="auto"/>
          </w:tcPr>
          <w:p>
            <w:pPr>
              <w:jc w:val="right"/>
              <w:rPr>
                <w:rFonts w:cs="仿宋_GB2312" w:asciiTheme="majorEastAsia" w:hAnsiTheme="majorEastAsia" w:eastAsiaTheme="majorEastAsia"/>
                <w:color w:val="000000"/>
                <w:sz w:val="18"/>
                <w:szCs w:val="18"/>
              </w:rPr>
            </w:pPr>
          </w:p>
        </w:tc>
      </w:tr>
      <w:tr>
        <w:tblPrEx>
          <w:tblLayout w:type="fixed"/>
          <w:tblCellMar>
            <w:top w:w="0" w:type="dxa"/>
            <w:left w:w="108" w:type="dxa"/>
            <w:bottom w:w="0" w:type="dxa"/>
            <w:right w:w="108" w:type="dxa"/>
          </w:tblCellMar>
        </w:tblPrEx>
        <w:trPr>
          <w:trHeight w:val="405" w:hRule="atLeast"/>
        </w:trPr>
        <w:tc>
          <w:tcPr>
            <w:tcW w:w="56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cs="仿宋_GB2312" w:asciiTheme="majorEastAsia" w:hAnsiTheme="majorEastAsia" w:eastAsiaTheme="majorEastAsia"/>
                <w:color w:val="000000"/>
                <w:sz w:val="18"/>
                <w:szCs w:val="18"/>
              </w:rPr>
            </w:pPr>
          </w:p>
        </w:tc>
        <w:tc>
          <w:tcPr>
            <w:tcW w:w="443" w:type="dxa"/>
            <w:tcBorders>
              <w:top w:val="single" w:color="auto" w:sz="4" w:space="0"/>
              <w:left w:val="nil"/>
              <w:bottom w:val="single" w:color="auto" w:sz="4" w:space="0"/>
              <w:right w:val="single" w:color="auto" w:sz="4" w:space="0"/>
            </w:tcBorders>
            <w:shd w:val="clear" w:color="auto" w:fill="auto"/>
            <w:noWrap/>
            <w:vAlign w:val="center"/>
          </w:tcPr>
          <w:p>
            <w:pPr>
              <w:rPr>
                <w:rFonts w:cs="仿宋_GB2312" w:asciiTheme="majorEastAsia" w:hAnsiTheme="majorEastAsia" w:eastAsiaTheme="majorEastAsia"/>
                <w:color w:val="000000"/>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cs="仿宋_GB2312" w:asciiTheme="majorEastAsia" w:hAnsiTheme="majorEastAsia" w:eastAsiaTheme="majorEastAsia"/>
                <w:color w:val="000000"/>
                <w:sz w:val="18"/>
                <w:szCs w:val="18"/>
              </w:rPr>
            </w:pPr>
          </w:p>
        </w:tc>
        <w:tc>
          <w:tcPr>
            <w:tcW w:w="4111" w:type="dxa"/>
            <w:tcBorders>
              <w:top w:val="single" w:color="auto" w:sz="4" w:space="0"/>
              <w:left w:val="nil"/>
              <w:bottom w:val="single" w:color="auto" w:sz="4" w:space="0"/>
              <w:right w:val="single" w:color="auto" w:sz="4" w:space="0"/>
            </w:tcBorders>
            <w:shd w:val="clear" w:color="auto" w:fill="auto"/>
            <w:vAlign w:val="center"/>
          </w:tcPr>
          <w:p>
            <w:pPr>
              <w:jc w:val="center"/>
              <w:rPr>
                <w:rFonts w:cs="仿宋_GB2312" w:asciiTheme="majorEastAsia" w:hAnsiTheme="majorEastAsia" w:eastAsiaTheme="majorEastAsia"/>
                <w:color w:val="000000"/>
                <w:sz w:val="18"/>
                <w:szCs w:val="18"/>
              </w:rPr>
            </w:pPr>
            <w:r>
              <w:rPr>
                <w:rFonts w:hint="eastAsia" w:cs="仿宋_GB2312" w:asciiTheme="majorEastAsia" w:hAnsiTheme="majorEastAsia" w:eastAsiaTheme="majorEastAsia"/>
                <w:color w:val="000000"/>
                <w:sz w:val="18"/>
                <w:szCs w:val="18"/>
              </w:rPr>
              <w:t>合计</w:t>
            </w:r>
          </w:p>
        </w:tc>
        <w:tc>
          <w:tcPr>
            <w:tcW w:w="1134" w:type="dxa"/>
            <w:tcBorders>
              <w:top w:val="single" w:color="auto" w:sz="4" w:space="0"/>
              <w:left w:val="nil"/>
              <w:bottom w:val="single" w:color="auto" w:sz="4" w:space="0"/>
              <w:right w:val="single" w:color="auto" w:sz="4" w:space="0"/>
            </w:tcBorders>
            <w:shd w:val="clear" w:color="auto" w:fill="auto"/>
            <w:vAlign w:val="center"/>
          </w:tcPr>
          <w:p>
            <w:pPr>
              <w:rPr>
                <w:rFonts w:cs="仿宋_GB2312" w:asciiTheme="majorEastAsia" w:hAnsiTheme="majorEastAsia" w:eastAsiaTheme="majorEastAsia"/>
                <w:color w:val="000000"/>
                <w:sz w:val="18"/>
                <w:szCs w:val="18"/>
              </w:rPr>
            </w:pPr>
          </w:p>
        </w:tc>
        <w:tc>
          <w:tcPr>
            <w:tcW w:w="1275" w:type="dxa"/>
            <w:tcBorders>
              <w:top w:val="single" w:color="auto" w:sz="4" w:space="0"/>
              <w:left w:val="nil"/>
              <w:bottom w:val="single" w:color="auto" w:sz="4" w:space="0"/>
              <w:right w:val="single" w:color="auto" w:sz="4" w:space="0"/>
            </w:tcBorders>
            <w:shd w:val="clear" w:color="auto" w:fill="auto"/>
            <w:vAlign w:val="center"/>
          </w:tcPr>
          <w:p>
            <w:pPr>
              <w:rPr>
                <w:rFonts w:cs="仿宋_GB2312" w:asciiTheme="majorEastAsia" w:hAnsiTheme="majorEastAsia" w:eastAsiaTheme="majorEastAsia"/>
                <w:color w:val="000000"/>
                <w:sz w:val="18"/>
                <w:szCs w:val="18"/>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rPr>
                <w:rFonts w:cs="仿宋_GB2312" w:asciiTheme="majorEastAsia" w:hAnsiTheme="majorEastAsia" w:eastAsiaTheme="majorEastAsia"/>
                <w:color w:val="000000"/>
                <w:sz w:val="18"/>
                <w:szCs w:val="18"/>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编制部门：石油新村街道办事处                                                    单位：万元</w:t>
      </w:r>
    </w:p>
    <w:tbl>
      <w:tblPr>
        <w:tblStyle w:val="7"/>
        <w:tblW w:w="8840" w:type="dxa"/>
        <w:tblInd w:w="93" w:type="dxa"/>
        <w:tblLayout w:type="fixed"/>
        <w:tblCellMar>
          <w:top w:w="0" w:type="dxa"/>
          <w:left w:w="108" w:type="dxa"/>
          <w:bottom w:w="0" w:type="dxa"/>
          <w:right w:w="108" w:type="dxa"/>
        </w:tblCellMar>
      </w:tblPr>
      <w:tblGrid>
        <w:gridCol w:w="1760"/>
        <w:gridCol w:w="1240"/>
        <w:gridCol w:w="2740"/>
        <w:gridCol w:w="1120"/>
        <w:gridCol w:w="1140"/>
        <w:gridCol w:w="840"/>
      </w:tblGrid>
      <w:tr>
        <w:tblPrEx>
          <w:tblLayout w:type="fixed"/>
          <w:tblCellMar>
            <w:top w:w="0" w:type="dxa"/>
            <w:left w:w="108" w:type="dxa"/>
            <w:bottom w:w="0" w:type="dxa"/>
            <w:right w:w="108" w:type="dxa"/>
          </w:tblCellMar>
        </w:tblPrEx>
        <w:trPr>
          <w:trHeight w:val="255" w:hRule="atLeast"/>
        </w:trPr>
        <w:tc>
          <w:tcPr>
            <w:tcW w:w="300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84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51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2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7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12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11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一般公共预算</w:t>
            </w:r>
          </w:p>
        </w:tc>
        <w:tc>
          <w:tcPr>
            <w:tcW w:w="840"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255"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1,543.37</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1,543.37</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2,673.70</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2,673.70</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1,142.56</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1,142.56</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35.79</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760"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2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27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12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1140"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5,395.42</w:t>
            </w:r>
          </w:p>
        </w:tc>
        <w:tc>
          <w:tcPr>
            <w:tcW w:w="84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9229" w:type="dxa"/>
        <w:tblInd w:w="93" w:type="dxa"/>
        <w:tblLayout w:type="fixed"/>
        <w:tblCellMar>
          <w:top w:w="0" w:type="dxa"/>
          <w:left w:w="108" w:type="dxa"/>
          <w:bottom w:w="0" w:type="dxa"/>
          <w:right w:w="108" w:type="dxa"/>
        </w:tblCellMar>
      </w:tblPr>
      <w:tblGrid>
        <w:gridCol w:w="582"/>
        <w:gridCol w:w="567"/>
        <w:gridCol w:w="426"/>
        <w:gridCol w:w="4045"/>
        <w:gridCol w:w="780"/>
        <w:gridCol w:w="419"/>
        <w:gridCol w:w="777"/>
        <w:gridCol w:w="357"/>
        <w:gridCol w:w="1276"/>
      </w:tblGrid>
      <w:tr>
        <w:tblPrEx>
          <w:tblLayout w:type="fixed"/>
          <w:tblCellMar>
            <w:top w:w="0" w:type="dxa"/>
            <w:left w:w="108" w:type="dxa"/>
            <w:bottom w:w="0" w:type="dxa"/>
            <w:right w:w="108" w:type="dxa"/>
          </w:tblCellMar>
        </w:tblPrEx>
        <w:trPr>
          <w:trHeight w:val="375" w:hRule="atLeast"/>
        </w:trPr>
        <w:tc>
          <w:tcPr>
            <w:tcW w:w="9229" w:type="dxa"/>
            <w:gridSpan w:val="9"/>
            <w:tcBorders>
              <w:top w:val="nil"/>
              <w:left w:val="nil"/>
              <w:bottom w:val="nil"/>
              <w:right w:val="nil"/>
            </w:tcBorders>
            <w:shd w:val="clear" w:color="000000" w:fill="FFFFFF"/>
            <w:vAlign w:val="bottom"/>
          </w:tcPr>
          <w:p>
            <w:pPr>
              <w:widowControl/>
              <w:jc w:val="left"/>
              <w:rPr>
                <w:rFonts w:hint="eastAsia" w:ascii="Default" w:hAnsi="Default" w:cs="Arial"/>
                <w:b/>
                <w:bCs/>
                <w:kern w:val="0"/>
                <w:sz w:val="26"/>
                <w:szCs w:val="26"/>
              </w:rPr>
            </w:pPr>
            <w:r>
              <w:rPr>
                <w:rFonts w:ascii="Default" w:hAnsi="Default" w:cs="Arial"/>
                <w:b/>
                <w:bCs/>
                <w:kern w:val="0"/>
                <w:sz w:val="26"/>
                <w:szCs w:val="26"/>
              </w:rPr>
              <w:t>表五：</w:t>
            </w:r>
          </w:p>
        </w:tc>
      </w:tr>
      <w:tr>
        <w:tblPrEx>
          <w:tblLayout w:type="fixed"/>
          <w:tblCellMar>
            <w:top w:w="0" w:type="dxa"/>
            <w:left w:w="108" w:type="dxa"/>
            <w:bottom w:w="0" w:type="dxa"/>
            <w:right w:w="108" w:type="dxa"/>
          </w:tblCellMar>
        </w:tblPrEx>
        <w:trPr>
          <w:trHeight w:val="720" w:hRule="atLeast"/>
        </w:trPr>
        <w:tc>
          <w:tcPr>
            <w:tcW w:w="9229" w:type="dxa"/>
            <w:gridSpan w:val="9"/>
            <w:tcBorders>
              <w:top w:val="nil"/>
              <w:left w:val="nil"/>
              <w:bottom w:val="nil"/>
              <w:right w:val="nil"/>
            </w:tcBorders>
            <w:shd w:val="clear" w:color="000000" w:fill="FFFFFF"/>
            <w:vAlign w:val="center"/>
          </w:tcPr>
          <w:p>
            <w:pPr>
              <w:widowControl/>
              <w:jc w:val="center"/>
              <w:rPr>
                <w:rFonts w:hint="eastAsia" w:ascii="Default" w:hAnsi="Default" w:cs="Arial"/>
                <w:b/>
                <w:bCs/>
                <w:kern w:val="0"/>
                <w:sz w:val="28"/>
                <w:szCs w:val="28"/>
              </w:rPr>
            </w:pPr>
            <w:r>
              <w:rPr>
                <w:rFonts w:ascii="Default" w:hAnsi="Default" w:cs="Arial"/>
                <w:b/>
                <w:bCs/>
                <w:kern w:val="0"/>
                <w:sz w:val="28"/>
                <w:szCs w:val="28"/>
              </w:rPr>
              <w:t>一般公共预算支出情况表</w:t>
            </w:r>
          </w:p>
        </w:tc>
      </w:tr>
      <w:tr>
        <w:tblPrEx>
          <w:tblLayout w:type="fixed"/>
          <w:tblCellMar>
            <w:top w:w="0" w:type="dxa"/>
            <w:left w:w="108" w:type="dxa"/>
            <w:bottom w:w="0" w:type="dxa"/>
            <w:right w:w="108" w:type="dxa"/>
          </w:tblCellMar>
        </w:tblPrEx>
        <w:trPr>
          <w:trHeight w:val="345" w:hRule="atLeast"/>
        </w:trPr>
        <w:tc>
          <w:tcPr>
            <w:tcW w:w="5620" w:type="dxa"/>
            <w:gridSpan w:val="4"/>
            <w:tcBorders>
              <w:top w:val="nil"/>
              <w:left w:val="nil"/>
              <w:bottom w:val="nil"/>
              <w:right w:val="nil"/>
            </w:tcBorders>
            <w:shd w:val="clear" w:color="000000" w:fill="FFFFFF"/>
          </w:tcPr>
          <w:p>
            <w:pPr>
              <w:widowControl/>
              <w:jc w:val="left"/>
              <w:rPr>
                <w:rFonts w:hint="eastAsia" w:ascii="Default" w:hAnsi="Default" w:cs="Arial"/>
                <w:kern w:val="0"/>
                <w:sz w:val="18"/>
                <w:szCs w:val="18"/>
              </w:rPr>
            </w:pPr>
            <w:r>
              <w:rPr>
                <w:rFonts w:ascii="Default" w:hAnsi="Default" w:cs="Arial"/>
                <w:kern w:val="0"/>
                <w:sz w:val="20"/>
                <w:szCs w:val="20"/>
              </w:rPr>
              <w:t>编制部门：</w:t>
            </w:r>
            <w:r>
              <w:rPr>
                <w:rFonts w:hint="eastAsia" w:asciiTheme="majorEastAsia" w:hAnsiTheme="majorEastAsia" w:eastAsiaTheme="majorEastAsia" w:cstheme="majorEastAsia"/>
                <w:kern w:val="0"/>
                <w:sz w:val="20"/>
                <w:szCs w:val="20"/>
              </w:rPr>
              <w:t>石油新村街道办事处</w:t>
            </w:r>
          </w:p>
          <w:p>
            <w:pPr>
              <w:widowControl/>
              <w:jc w:val="left"/>
              <w:rPr>
                <w:rFonts w:hint="eastAsia" w:ascii="Default" w:hAnsi="Default" w:cs="Arial"/>
                <w:kern w:val="0"/>
                <w:sz w:val="20"/>
                <w:szCs w:val="20"/>
              </w:rPr>
            </w:pPr>
            <w:r>
              <w:rPr>
                <w:rFonts w:ascii="Default" w:hAnsi="Default" w:cs="Arial"/>
                <w:kern w:val="0"/>
                <w:sz w:val="20"/>
                <w:szCs w:val="20"/>
              </w:rPr>
              <w:t>　</w:t>
            </w:r>
          </w:p>
        </w:tc>
        <w:tc>
          <w:tcPr>
            <w:tcW w:w="78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96"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633" w:type="dxa"/>
            <w:gridSpan w:val="2"/>
            <w:tcBorders>
              <w:top w:val="nil"/>
              <w:left w:val="nil"/>
              <w:bottom w:val="nil"/>
              <w:right w:val="nil"/>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trHeight w:val="345" w:hRule="atLeast"/>
        </w:trPr>
        <w:tc>
          <w:tcPr>
            <w:tcW w:w="5620"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项目</w:t>
            </w:r>
          </w:p>
        </w:tc>
        <w:tc>
          <w:tcPr>
            <w:tcW w:w="3609" w:type="dxa"/>
            <w:gridSpan w:val="5"/>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一般公共预算支出</w:t>
            </w:r>
          </w:p>
        </w:tc>
      </w:tr>
      <w:tr>
        <w:tblPrEx>
          <w:tblLayout w:type="fixed"/>
          <w:tblCellMar>
            <w:top w:w="0" w:type="dxa"/>
            <w:left w:w="108" w:type="dxa"/>
            <w:bottom w:w="0" w:type="dxa"/>
            <w:right w:w="108" w:type="dxa"/>
          </w:tblCellMar>
        </w:tblPrEx>
        <w:trPr>
          <w:trHeight w:val="345" w:hRule="atLeast"/>
        </w:trPr>
        <w:tc>
          <w:tcPr>
            <w:tcW w:w="1575"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功能分类科目编码</w:t>
            </w:r>
          </w:p>
        </w:tc>
        <w:tc>
          <w:tcPr>
            <w:tcW w:w="4045"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功能分类科目名称</w:t>
            </w:r>
          </w:p>
        </w:tc>
        <w:tc>
          <w:tcPr>
            <w:tcW w:w="1199"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小计</w:t>
            </w:r>
          </w:p>
        </w:tc>
        <w:tc>
          <w:tcPr>
            <w:tcW w:w="1134"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基本支出</w:t>
            </w:r>
          </w:p>
        </w:tc>
        <w:tc>
          <w:tcPr>
            <w:tcW w:w="1276"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项目支出</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类</w:t>
            </w:r>
          </w:p>
        </w:tc>
        <w:tc>
          <w:tcPr>
            <w:tcW w:w="567"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款</w:t>
            </w:r>
          </w:p>
        </w:tc>
        <w:tc>
          <w:tcPr>
            <w:tcW w:w="426" w:type="dxa"/>
            <w:tcBorders>
              <w:top w:val="nil"/>
              <w:left w:val="nil"/>
              <w:bottom w:val="single" w:color="000000" w:sz="4" w:space="0"/>
              <w:right w:val="single" w:color="000000" w:sz="4" w:space="0"/>
            </w:tcBorders>
            <w:shd w:val="clear" w:color="auto" w:fill="FFFFFF" w:themeFill="background1"/>
            <w:vAlign w:val="center"/>
          </w:tcPr>
          <w:p>
            <w:pPr>
              <w:widowControl/>
              <w:jc w:val="center"/>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项</w:t>
            </w:r>
          </w:p>
        </w:tc>
        <w:tc>
          <w:tcPr>
            <w:tcW w:w="4045"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cs="Arial" w:asciiTheme="majorEastAsia" w:hAnsiTheme="majorEastAsia" w:eastAsiaTheme="majorEastAsia"/>
                <w:kern w:val="0"/>
                <w:sz w:val="18"/>
                <w:szCs w:val="18"/>
              </w:rPr>
            </w:pPr>
          </w:p>
        </w:tc>
        <w:tc>
          <w:tcPr>
            <w:tcW w:w="1199"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cs="Arial" w:asciiTheme="majorEastAsia" w:hAnsiTheme="majorEastAsia" w:eastAsiaTheme="majorEastAsia"/>
                <w:kern w:val="0"/>
                <w:sz w:val="18"/>
                <w:szCs w:val="18"/>
              </w:rPr>
            </w:pPr>
          </w:p>
        </w:tc>
        <w:tc>
          <w:tcPr>
            <w:tcW w:w="1134"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cs="Arial" w:asciiTheme="majorEastAsia" w:hAnsiTheme="majorEastAsia" w:eastAsiaTheme="majorEastAsia"/>
                <w:kern w:val="0"/>
                <w:sz w:val="18"/>
                <w:szCs w:val="18"/>
              </w:rPr>
            </w:pPr>
          </w:p>
        </w:tc>
        <w:tc>
          <w:tcPr>
            <w:tcW w:w="1276"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cs="Arial" w:asciiTheme="majorEastAsia" w:hAnsiTheme="majorEastAsia" w:eastAsiaTheme="majorEastAsia"/>
                <w:kern w:val="0"/>
                <w:sz w:val="18"/>
                <w:szCs w:val="18"/>
              </w:rPr>
            </w:pP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总计:</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5,395.42</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1,962.86</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3,432.56</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石油新村（政府办公厅及相关机构事务）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455.78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355.78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100.00</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一般公共服务支出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382.10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282.10</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100.00</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03</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政府办公厅（室）及相关机构事务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382.10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282.10</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100.00</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03</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行政运行</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282.10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282.10</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03</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其他政府办公厅（室）及相关机构事务支出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100.00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100.00</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社会保障和就业支出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行政事业单位离退休</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机关事业单位基本养老保险缴费支出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27.51</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石油新村(计划生育事务）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46.86</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46.86</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7.29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社会保障和就业支出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行政事业单位离退休</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机关事业单位基本养老保险缴费支出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3.78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210</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医疗卫生与计划生育支出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210</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07</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计划生育事务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210</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07</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其他计划生育事务支出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35.79</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石油新村（基层政权和社区建设）</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2,507.10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1,520.58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一般公共服务支出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03</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政府办公厅（室）及相关机构事务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201</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03</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行政运行</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1,161.27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238.14</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社会保障和就业支出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1,107.69</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121.17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02</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民政管理事务</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02</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08</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基层政权和社区建设</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986.52</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行政事业单位离退休</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121.17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121.17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机关事业单位基本养老保险缴费支出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121.17</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121.17</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石油新村（其它公共安全支出）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2,385.68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39.64</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2,346.04</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2,382.10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36.06</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2,346.04</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06</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司法</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31.20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31.20</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06</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行政运行</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31.20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31.20</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2,350.90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4.86</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2,346.04</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204</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xml:space="preserve"> 99</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01</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其他公共安全支出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2,350.90</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4.86</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2,346.04</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社会保障和就业支出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行政事业单位离退休</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r>
        <w:tblPrEx>
          <w:tblLayout w:type="fixed"/>
          <w:tblCellMar>
            <w:top w:w="0" w:type="dxa"/>
            <w:left w:w="108" w:type="dxa"/>
            <w:bottom w:w="0" w:type="dxa"/>
            <w:right w:w="108" w:type="dxa"/>
          </w:tblCellMar>
        </w:tblPrEx>
        <w:trPr>
          <w:trHeight w:val="345" w:hRule="atLeast"/>
        </w:trPr>
        <w:tc>
          <w:tcPr>
            <w:tcW w:w="582" w:type="dxa"/>
            <w:tcBorders>
              <w:top w:val="nil"/>
              <w:left w:val="single" w:color="000000" w:sz="4" w:space="0"/>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208</w:t>
            </w:r>
          </w:p>
        </w:tc>
        <w:tc>
          <w:tcPr>
            <w:tcW w:w="567"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26"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05</w:t>
            </w:r>
          </w:p>
        </w:tc>
        <w:tc>
          <w:tcPr>
            <w:tcW w:w="4045" w:type="dxa"/>
            <w:tcBorders>
              <w:top w:val="nil"/>
              <w:left w:val="nil"/>
              <w:bottom w:val="single" w:color="000000" w:sz="4" w:space="0"/>
              <w:right w:val="single" w:color="000000" w:sz="4" w:space="0"/>
            </w:tcBorders>
            <w:shd w:val="clear" w:color="000000" w:fill="FFFFFF"/>
          </w:tcPr>
          <w:p>
            <w:pPr>
              <w:widowControl/>
              <w:jc w:val="lef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机关事业单位基本养老保险缴费支出</w:t>
            </w:r>
          </w:p>
        </w:tc>
        <w:tc>
          <w:tcPr>
            <w:tcW w:w="1199"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134" w:type="dxa"/>
            <w:gridSpan w:val="2"/>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3.58</w:t>
            </w:r>
          </w:p>
        </w:tc>
        <w:tc>
          <w:tcPr>
            <w:tcW w:w="1276" w:type="dxa"/>
            <w:tcBorders>
              <w:top w:val="nil"/>
              <w:left w:val="nil"/>
              <w:bottom w:val="single" w:color="000000" w:sz="4" w:space="0"/>
              <w:right w:val="single" w:color="000000" w:sz="4" w:space="0"/>
            </w:tcBorders>
            <w:shd w:val="clear" w:color="000000" w:fill="FFFFFF"/>
          </w:tcPr>
          <w:p>
            <w:pPr>
              <w:widowControl/>
              <w:jc w:val="right"/>
              <w:rPr>
                <w:rFonts w:cs="Arial" w:asciiTheme="majorEastAsia" w:hAnsiTheme="majorEastAsia" w:eastAsiaTheme="majorEastAsia"/>
                <w:kern w:val="0"/>
                <w:sz w:val="18"/>
                <w:szCs w:val="18"/>
              </w:rPr>
            </w:pPr>
            <w:r>
              <w:rPr>
                <w:rFonts w:cs="Arial" w:asciiTheme="majorEastAsia" w:hAnsiTheme="majorEastAsia" w:eastAsiaTheme="majorEastAsia"/>
                <w:kern w:val="0"/>
                <w:sz w:val="18"/>
                <w:szCs w:val="18"/>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tbl>
      <w:tblPr>
        <w:tblStyle w:val="7"/>
        <w:tblW w:w="9347" w:type="dxa"/>
        <w:tblInd w:w="93" w:type="dxa"/>
        <w:tblLayout w:type="fixed"/>
        <w:tblCellMar>
          <w:top w:w="0" w:type="dxa"/>
          <w:left w:w="108" w:type="dxa"/>
          <w:bottom w:w="0" w:type="dxa"/>
          <w:right w:w="108" w:type="dxa"/>
        </w:tblCellMar>
      </w:tblPr>
      <w:tblGrid>
        <w:gridCol w:w="739"/>
        <w:gridCol w:w="321"/>
        <w:gridCol w:w="373"/>
        <w:gridCol w:w="687"/>
        <w:gridCol w:w="1840"/>
        <w:gridCol w:w="1500"/>
        <w:gridCol w:w="651"/>
        <w:gridCol w:w="236"/>
        <w:gridCol w:w="613"/>
        <w:gridCol w:w="285"/>
        <w:gridCol w:w="992"/>
        <w:gridCol w:w="223"/>
        <w:gridCol w:w="769"/>
        <w:gridCol w:w="118"/>
      </w:tblGrid>
      <w:tr>
        <w:tblPrEx>
          <w:tblLayout w:type="fixed"/>
          <w:tblCellMar>
            <w:top w:w="0" w:type="dxa"/>
            <w:left w:w="108" w:type="dxa"/>
            <w:bottom w:w="0" w:type="dxa"/>
            <w:right w:w="108" w:type="dxa"/>
          </w:tblCellMar>
        </w:tblPrEx>
        <w:trPr>
          <w:gridAfter w:val="2"/>
          <w:wAfter w:w="887" w:type="dxa"/>
          <w:trHeight w:val="345" w:hRule="atLeast"/>
        </w:trPr>
        <w:tc>
          <w:tcPr>
            <w:tcW w:w="1060" w:type="dxa"/>
            <w:gridSpan w:val="2"/>
            <w:tcBorders>
              <w:top w:val="nil"/>
              <w:left w:val="nil"/>
              <w:bottom w:val="nil"/>
              <w:right w:val="nil"/>
            </w:tcBorders>
            <w:shd w:val="clear" w:color="000000" w:fill="FFFFFF"/>
          </w:tcPr>
          <w:p>
            <w:pPr>
              <w:widowControl/>
              <w:jc w:val="left"/>
              <w:rPr>
                <w:rFonts w:hint="eastAsia" w:ascii="Default" w:hAnsi="Default" w:cs="Arial"/>
                <w:b/>
                <w:bCs/>
                <w:kern w:val="0"/>
                <w:sz w:val="26"/>
                <w:szCs w:val="26"/>
              </w:rPr>
            </w:pPr>
            <w:r>
              <w:rPr>
                <w:rFonts w:ascii="Default" w:hAnsi="Default" w:cs="Arial"/>
                <w:b/>
                <w:bCs/>
                <w:kern w:val="0"/>
                <w:sz w:val="26"/>
                <w:szCs w:val="26"/>
              </w:rPr>
              <w:t>表六：</w:t>
            </w:r>
          </w:p>
        </w:tc>
        <w:tc>
          <w:tcPr>
            <w:tcW w:w="1060" w:type="dxa"/>
            <w:gridSpan w:val="2"/>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84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00"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0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500" w:type="dxa"/>
            <w:gridSpan w:val="3"/>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2"/>
          <w:wAfter w:w="887" w:type="dxa"/>
          <w:trHeight w:val="630" w:hRule="atLeast"/>
        </w:trPr>
        <w:tc>
          <w:tcPr>
            <w:tcW w:w="8460" w:type="dxa"/>
            <w:gridSpan w:val="12"/>
            <w:tcBorders>
              <w:top w:val="nil"/>
              <w:left w:val="nil"/>
              <w:bottom w:val="nil"/>
              <w:right w:val="nil"/>
            </w:tcBorders>
            <w:shd w:val="clear" w:color="000000" w:fill="FFFFFF"/>
            <w:vAlign w:val="center"/>
          </w:tcPr>
          <w:p>
            <w:pPr>
              <w:widowControl/>
              <w:jc w:val="center"/>
              <w:rPr>
                <w:rFonts w:hint="eastAsia" w:ascii="Default" w:hAnsi="Default" w:cs="Arial"/>
                <w:b/>
                <w:bCs/>
                <w:kern w:val="0"/>
                <w:sz w:val="30"/>
                <w:szCs w:val="30"/>
              </w:rPr>
            </w:pPr>
            <w:r>
              <w:rPr>
                <w:rFonts w:ascii="Default" w:hAnsi="Default" w:cs="Arial"/>
                <w:b/>
                <w:bCs/>
                <w:kern w:val="0"/>
                <w:sz w:val="30"/>
                <w:szCs w:val="30"/>
              </w:rPr>
              <w:t>一般公共预算基本支出情况表</w:t>
            </w:r>
          </w:p>
        </w:tc>
      </w:tr>
      <w:tr>
        <w:tblPrEx>
          <w:tblLayout w:type="fixed"/>
          <w:tblCellMar>
            <w:top w:w="0" w:type="dxa"/>
            <w:left w:w="108" w:type="dxa"/>
            <w:bottom w:w="0" w:type="dxa"/>
            <w:right w:w="108" w:type="dxa"/>
          </w:tblCellMar>
        </w:tblPrEx>
        <w:trPr>
          <w:trHeight w:val="345" w:hRule="atLeast"/>
        </w:trPr>
        <w:tc>
          <w:tcPr>
            <w:tcW w:w="6111" w:type="dxa"/>
            <w:gridSpan w:val="7"/>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编制部门：</w:t>
            </w:r>
            <w:r>
              <w:rPr>
                <w:rFonts w:hint="eastAsia" w:asciiTheme="majorEastAsia" w:hAnsiTheme="majorEastAsia" w:eastAsiaTheme="majorEastAsia" w:cstheme="majorEastAsia"/>
                <w:kern w:val="0"/>
                <w:sz w:val="20"/>
                <w:szCs w:val="20"/>
              </w:rPr>
              <w:t>石油新村街道办事处</w:t>
            </w:r>
            <w:r>
              <w:rPr>
                <w:rFonts w:ascii="Default" w:hAnsi="Default" w:cs="Arial"/>
                <w:kern w:val="0"/>
                <w:sz w:val="20"/>
                <w:szCs w:val="20"/>
              </w:rPr>
              <w:t>　　</w:t>
            </w:r>
          </w:p>
        </w:tc>
        <w:tc>
          <w:tcPr>
            <w:tcW w:w="236" w:type="dxa"/>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3000" w:type="dxa"/>
            <w:gridSpan w:val="6"/>
            <w:tcBorders>
              <w:top w:val="nil"/>
              <w:left w:val="nil"/>
              <w:bottom w:val="nil"/>
              <w:right w:val="nil"/>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p>
            <w:pPr>
              <w:widowControl/>
              <w:jc w:val="center"/>
              <w:rPr>
                <w:rFonts w:hint="eastAsia" w:ascii="Default" w:hAnsi="Default" w:cs="Arial"/>
                <w:kern w:val="0"/>
                <w:sz w:val="20"/>
                <w:szCs w:val="20"/>
              </w:rPr>
            </w:pPr>
            <w:r>
              <w:rPr>
                <w:rFonts w:ascii="Default" w:hAnsi="Default" w:cs="Arial"/>
                <w:kern w:val="0"/>
                <w:sz w:val="20"/>
                <w:szCs w:val="20"/>
              </w:rPr>
              <w:t>单位：万元</w:t>
            </w:r>
          </w:p>
        </w:tc>
      </w:tr>
      <w:tr>
        <w:tblPrEx>
          <w:tblLayout w:type="fixed"/>
          <w:tblCellMar>
            <w:top w:w="0" w:type="dxa"/>
            <w:left w:w="108" w:type="dxa"/>
            <w:bottom w:w="0" w:type="dxa"/>
            <w:right w:w="108" w:type="dxa"/>
          </w:tblCellMar>
        </w:tblPrEx>
        <w:trPr>
          <w:gridAfter w:val="1"/>
          <w:wAfter w:w="118" w:type="dxa"/>
          <w:trHeight w:val="345" w:hRule="atLeast"/>
        </w:trPr>
        <w:tc>
          <w:tcPr>
            <w:tcW w:w="6111" w:type="dxa"/>
            <w:gridSpan w:val="7"/>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项目</w:t>
            </w:r>
          </w:p>
        </w:tc>
        <w:tc>
          <w:tcPr>
            <w:tcW w:w="3118" w:type="dxa"/>
            <w:gridSpan w:val="6"/>
            <w:tcBorders>
              <w:top w:val="single" w:color="000000" w:sz="4" w:space="0"/>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一般公共预算基本支出</w:t>
            </w:r>
          </w:p>
        </w:tc>
      </w:tr>
      <w:tr>
        <w:tblPrEx>
          <w:tblLayout w:type="fixed"/>
          <w:tblCellMar>
            <w:top w:w="0" w:type="dxa"/>
            <w:left w:w="108" w:type="dxa"/>
            <w:bottom w:w="0" w:type="dxa"/>
            <w:right w:w="108" w:type="dxa"/>
          </w:tblCellMar>
        </w:tblPrEx>
        <w:trPr>
          <w:gridAfter w:val="1"/>
          <w:wAfter w:w="118" w:type="dxa"/>
          <w:trHeight w:val="345" w:hRule="atLeast"/>
        </w:trPr>
        <w:tc>
          <w:tcPr>
            <w:tcW w:w="1433" w:type="dxa"/>
            <w:gridSpan w:val="3"/>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经济分类科目编码</w:t>
            </w:r>
          </w:p>
        </w:tc>
        <w:tc>
          <w:tcPr>
            <w:tcW w:w="4678" w:type="dxa"/>
            <w:gridSpan w:val="4"/>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经济分类科目名称</w:t>
            </w:r>
          </w:p>
        </w:tc>
        <w:tc>
          <w:tcPr>
            <w:tcW w:w="1134" w:type="dxa"/>
            <w:gridSpan w:val="3"/>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小计</w:t>
            </w:r>
          </w:p>
        </w:tc>
        <w:tc>
          <w:tcPr>
            <w:tcW w:w="992" w:type="dxa"/>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人员经费</w:t>
            </w:r>
          </w:p>
        </w:tc>
        <w:tc>
          <w:tcPr>
            <w:tcW w:w="992" w:type="dxa"/>
            <w:gridSpan w:val="2"/>
            <w:vMerge w:val="restart"/>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公用经费</w:t>
            </w:r>
          </w:p>
        </w:tc>
      </w:tr>
      <w:tr>
        <w:tblPrEx>
          <w:tblLayout w:type="fixed"/>
          <w:tblCellMar>
            <w:top w:w="0" w:type="dxa"/>
            <w:left w:w="108" w:type="dxa"/>
            <w:bottom w:w="0" w:type="dxa"/>
            <w:right w:w="108" w:type="dxa"/>
          </w:tblCellMar>
        </w:tblPrEx>
        <w:trPr>
          <w:gridAfter w:val="1"/>
          <w:wAfter w:w="118" w:type="dxa"/>
          <w:trHeight w:val="345" w:hRule="atLeast"/>
        </w:trPr>
        <w:tc>
          <w:tcPr>
            <w:tcW w:w="739" w:type="dxa"/>
            <w:tcBorders>
              <w:top w:val="nil"/>
              <w:left w:val="single" w:color="000000" w:sz="4" w:space="0"/>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类</w:t>
            </w:r>
          </w:p>
        </w:tc>
        <w:tc>
          <w:tcPr>
            <w:tcW w:w="694" w:type="dxa"/>
            <w:gridSpan w:val="2"/>
            <w:tcBorders>
              <w:top w:val="nil"/>
              <w:left w:val="nil"/>
              <w:bottom w:val="single" w:color="000000" w:sz="4" w:space="0"/>
              <w:right w:val="single" w:color="000000" w:sz="4" w:space="0"/>
            </w:tcBorders>
            <w:shd w:val="clear" w:color="auto" w:fill="FFFFFF" w:themeFill="background1"/>
            <w:vAlign w:val="center"/>
          </w:tcPr>
          <w:p>
            <w:pPr>
              <w:widowControl/>
              <w:jc w:val="center"/>
              <w:rPr>
                <w:rFonts w:hint="eastAsia" w:ascii="Default" w:hAnsi="Default" w:cs="Arial"/>
                <w:kern w:val="0"/>
                <w:sz w:val="20"/>
                <w:szCs w:val="20"/>
              </w:rPr>
            </w:pPr>
            <w:r>
              <w:rPr>
                <w:rFonts w:ascii="Default" w:hAnsi="Default" w:cs="Arial"/>
                <w:kern w:val="0"/>
                <w:sz w:val="20"/>
                <w:szCs w:val="20"/>
              </w:rPr>
              <w:t>款</w:t>
            </w:r>
          </w:p>
        </w:tc>
        <w:tc>
          <w:tcPr>
            <w:tcW w:w="4678" w:type="dxa"/>
            <w:gridSpan w:val="4"/>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Default" w:hAnsi="Default" w:cs="Arial"/>
                <w:kern w:val="0"/>
                <w:sz w:val="20"/>
                <w:szCs w:val="20"/>
              </w:rPr>
            </w:pPr>
          </w:p>
        </w:tc>
        <w:tc>
          <w:tcPr>
            <w:tcW w:w="1134" w:type="dxa"/>
            <w:gridSpan w:val="3"/>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Default" w:hAnsi="Default" w:cs="Arial"/>
                <w:kern w:val="0"/>
                <w:sz w:val="20"/>
                <w:szCs w:val="20"/>
              </w:rPr>
            </w:pPr>
          </w:p>
        </w:tc>
        <w:tc>
          <w:tcPr>
            <w:tcW w:w="992" w:type="dxa"/>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Default" w:hAnsi="Default" w:cs="Arial"/>
                <w:kern w:val="0"/>
                <w:sz w:val="20"/>
                <w:szCs w:val="20"/>
              </w:rPr>
            </w:pPr>
          </w:p>
        </w:tc>
        <w:tc>
          <w:tcPr>
            <w:tcW w:w="992" w:type="dxa"/>
            <w:gridSpan w:val="2"/>
            <w:vMerge w:val="continue"/>
            <w:tcBorders>
              <w:top w:val="nil"/>
              <w:left w:val="nil"/>
              <w:bottom w:val="single" w:color="000000" w:sz="4" w:space="0"/>
              <w:right w:val="single" w:color="000000" w:sz="4" w:space="0"/>
            </w:tcBorders>
            <w:shd w:val="clear" w:color="auto" w:fill="FFFFFF" w:themeFill="background1"/>
            <w:vAlign w:val="center"/>
          </w:tcPr>
          <w:p>
            <w:pPr>
              <w:widowControl/>
              <w:jc w:val="left"/>
              <w:rPr>
                <w:rFonts w:hint="eastAsia" w:ascii="Default" w:hAnsi="Default" w:cs="Arial"/>
                <w:kern w:val="0"/>
                <w:sz w:val="20"/>
                <w:szCs w:val="20"/>
              </w:rPr>
            </w:pP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总计:</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1,962.86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1,854.09</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108.77</w:t>
            </w:r>
          </w:p>
        </w:tc>
      </w:tr>
      <w:tr>
        <w:tblPrEx>
          <w:tblLayout w:type="fixed"/>
          <w:tblCellMar>
            <w:top w:w="0" w:type="dxa"/>
            <w:left w:w="108" w:type="dxa"/>
            <w:bottom w:w="0" w:type="dxa"/>
            <w:right w:w="108" w:type="dxa"/>
          </w:tblCellMar>
        </w:tblPrEx>
        <w:trPr>
          <w:gridAfter w:val="1"/>
          <w:wAfter w:w="118" w:type="dxa"/>
          <w:trHeight w:val="394"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057001001-石油新村（政府办公厅及相关机构事务）</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355.78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310.82</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44.96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工资福利支出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264.65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264.65</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基本工资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64.20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64.20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津贴补贴</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88.80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88.80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奖金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39.55</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39"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27.51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27.51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15"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10</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职工基本医疗保险缴费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12.38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12.38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公务员医疗补助缴费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2.75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2.75</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其他社会保障缴费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1.10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1.10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住房公积金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28.36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44.96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44.96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办公费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1.24</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0.67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0.67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0.88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0.88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邮电费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0.40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0.40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取暖费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25.40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25.40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差旅费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0.95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0.95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维修(护)费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培训费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1.98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1.98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专用材料费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工会经费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2.64</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福利费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6.08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6.08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公务用车运行维护费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4.54</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46.17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46.17</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75"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46.17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46.17</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8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057001002-石油新村(计划生育事务）</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46.86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45.00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1.86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工资福利支出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37.71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37.71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基本工资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8.41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8.41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津贴补贴</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2.45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2.45</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奖金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绩效工资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11.07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11.07</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93"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3.78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3.78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78"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10</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职工基本医疗保险缴费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公务员医疗补助缴费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其他社会保障缴费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住房公积金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4.14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4.14</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1.86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办公费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0.13</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0.13</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邮电费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差旅费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0.19</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维修(护)费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培训费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0.28</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专用材料费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工会经费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0.22</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0.22</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福利费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0.50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0.50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7.29</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87"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7.29</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8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057001003-石油新村（基层政权和社区建设）</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1,520.58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1,460.63</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59.95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工资福利支出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1,222.49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1,222.49</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基本工资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262.23</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262.23</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津贴补贴</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89.70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89.70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奖金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176.40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176.40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绩效工资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360.36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360.36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31"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121.17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121.17</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6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10</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职工基本医疗保险缴费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54.53</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54.53</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公务员医疗补助缴费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12.12</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12.12</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其他社会保障缴费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12.12</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12.12</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住房公积金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133.86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133.86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59.95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59.95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办公费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8.10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8.10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4.37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4.37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5.77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5.77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邮电费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2.65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差旅费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6.17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6.17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维修(护)费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0.29</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培训费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9.09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9.09</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专用材料费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0.46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0.46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工会经费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6.87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6.87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福利费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15.81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15.81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81"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238.14</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99"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057001004-石油新村（其它公共安全支出）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39.64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37.64</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2.00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工资福利支出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32.78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32.78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基本工资</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7.27</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津贴补贴</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12.21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12.21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奖金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4.21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4.21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7"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机关事业单位基本养老保险缴费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3.58</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3.58</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83"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10</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职工基本医疗保险缴费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1.61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1.61</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公务员医疗补助缴费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12</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其他社会保障缴费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0.14</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0.14</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301</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住房公积金</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3.40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3.40</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2.00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2.00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办公费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0.17</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0.17</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05</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水费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0.09</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0.09</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0.12</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0.12</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07</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邮电费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11</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差旅费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0.13</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0.13</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13</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维修(护)费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16</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培训费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0.26</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18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专用材料费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28</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工会经费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0.35</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0.35</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29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福利费</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0.80</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0.80</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302</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其他商品和服务支出</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0.01</w:t>
            </w:r>
          </w:p>
        </w:tc>
      </w:tr>
      <w:tr>
        <w:tblPrEx>
          <w:tblLayout w:type="fixed"/>
          <w:tblCellMar>
            <w:top w:w="0" w:type="dxa"/>
            <w:left w:w="108" w:type="dxa"/>
            <w:bottom w:w="0" w:type="dxa"/>
            <w:right w:w="108" w:type="dxa"/>
          </w:tblCellMar>
        </w:tblPrEx>
        <w:trPr>
          <w:gridAfter w:val="1"/>
          <w:wAfter w:w="118" w:type="dxa"/>
          <w:trHeight w:val="300"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gridAfter w:val="1"/>
          <w:wAfter w:w="118" w:type="dxa"/>
          <w:trHeight w:val="263" w:hRule="atLeast"/>
        </w:trPr>
        <w:tc>
          <w:tcPr>
            <w:tcW w:w="739" w:type="dxa"/>
            <w:tcBorders>
              <w:top w:val="nil"/>
              <w:left w:val="single" w:color="000000" w:sz="4" w:space="0"/>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 xml:space="preserve">  303</w:t>
            </w:r>
          </w:p>
        </w:tc>
        <w:tc>
          <w:tcPr>
            <w:tcW w:w="694" w:type="dxa"/>
            <w:gridSpan w:val="2"/>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99</w:t>
            </w:r>
          </w:p>
        </w:tc>
        <w:tc>
          <w:tcPr>
            <w:tcW w:w="4678" w:type="dxa"/>
            <w:gridSpan w:val="4"/>
            <w:tcBorders>
              <w:top w:val="nil"/>
              <w:left w:val="nil"/>
              <w:bottom w:val="single" w:color="000000" w:sz="4" w:space="0"/>
              <w:right w:val="single" w:color="000000" w:sz="4" w:space="0"/>
            </w:tcBorders>
            <w:shd w:val="clear" w:color="000000" w:fill="FFFFFF"/>
          </w:tcPr>
          <w:p>
            <w:pPr>
              <w:widowControl/>
              <w:jc w:val="left"/>
              <w:rPr>
                <w:rFonts w:hint="eastAsia" w:ascii="Default" w:hAnsi="Default" w:cs="Arial"/>
                <w:kern w:val="0"/>
                <w:sz w:val="20"/>
                <w:szCs w:val="20"/>
              </w:rPr>
            </w:pPr>
            <w:r>
              <w:rPr>
                <w:rFonts w:ascii="Default" w:hAnsi="Default" w:cs="Arial"/>
                <w:kern w:val="0"/>
                <w:sz w:val="20"/>
                <w:szCs w:val="20"/>
              </w:rPr>
              <w:t>其他对个人和家庭的补助</w:t>
            </w:r>
          </w:p>
        </w:tc>
        <w:tc>
          <w:tcPr>
            <w:tcW w:w="1134" w:type="dxa"/>
            <w:gridSpan w:val="3"/>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992" w:type="dxa"/>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4.86</w:t>
            </w:r>
          </w:p>
        </w:tc>
        <w:tc>
          <w:tcPr>
            <w:tcW w:w="992" w:type="dxa"/>
            <w:gridSpan w:val="2"/>
            <w:tcBorders>
              <w:top w:val="nil"/>
              <w:left w:val="nil"/>
              <w:bottom w:val="single" w:color="000000" w:sz="4" w:space="0"/>
              <w:right w:val="single" w:color="000000" w:sz="4" w:space="0"/>
            </w:tcBorders>
            <w:shd w:val="clear" w:color="000000" w:fill="FFFFFF"/>
          </w:tcPr>
          <w:p>
            <w:pPr>
              <w:widowControl/>
              <w:jc w:val="right"/>
              <w:rPr>
                <w:rFonts w:hint="eastAsia" w:ascii="Default" w:hAnsi="Default" w:cs="Arial"/>
                <w:kern w:val="0"/>
                <w:sz w:val="20"/>
                <w:szCs w:val="20"/>
              </w:rPr>
            </w:pPr>
            <w:r>
              <w:rPr>
                <w:rFonts w:ascii="Default" w:hAnsi="Default"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11030" w:type="dxa"/>
        <w:tblInd w:w="-885" w:type="dxa"/>
        <w:tblLayout w:type="fixed"/>
        <w:tblCellMar>
          <w:top w:w="0" w:type="dxa"/>
          <w:left w:w="108" w:type="dxa"/>
          <w:bottom w:w="0" w:type="dxa"/>
          <w:right w:w="108" w:type="dxa"/>
        </w:tblCellMar>
      </w:tblPr>
      <w:tblGrid>
        <w:gridCol w:w="531"/>
        <w:gridCol w:w="392"/>
        <w:gridCol w:w="63"/>
        <w:gridCol w:w="343"/>
        <w:gridCol w:w="1082"/>
        <w:gridCol w:w="1417"/>
        <w:gridCol w:w="875"/>
        <w:gridCol w:w="462"/>
        <w:gridCol w:w="171"/>
        <w:gridCol w:w="697"/>
        <w:gridCol w:w="713"/>
        <w:gridCol w:w="728"/>
        <w:gridCol w:w="539"/>
        <w:gridCol w:w="133"/>
        <w:gridCol w:w="686"/>
        <w:gridCol w:w="686"/>
        <w:gridCol w:w="476"/>
        <w:gridCol w:w="445"/>
        <w:gridCol w:w="193"/>
        <w:gridCol w:w="398"/>
      </w:tblGrid>
      <w:tr>
        <w:tblPrEx>
          <w:tblLayout w:type="fixed"/>
          <w:tblCellMar>
            <w:top w:w="0" w:type="dxa"/>
            <w:left w:w="108" w:type="dxa"/>
            <w:bottom w:w="0" w:type="dxa"/>
            <w:right w:w="108" w:type="dxa"/>
          </w:tblCellMar>
        </w:tblPrEx>
        <w:trPr>
          <w:gridBefore w:val="3"/>
          <w:gridAfter w:val="2"/>
          <w:wBefore w:w="986" w:type="dxa"/>
          <w:wAfter w:w="591" w:type="dxa"/>
          <w:trHeight w:val="375" w:hRule="atLeast"/>
        </w:trPr>
        <w:tc>
          <w:tcPr>
            <w:tcW w:w="9453" w:type="dxa"/>
            <w:gridSpan w:val="15"/>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3"/>
          <w:gridAfter w:val="2"/>
          <w:wBefore w:w="986" w:type="dxa"/>
          <w:wAfter w:w="591" w:type="dxa"/>
          <w:trHeight w:val="405" w:hRule="atLeast"/>
        </w:trPr>
        <w:tc>
          <w:tcPr>
            <w:tcW w:w="4350" w:type="dxa"/>
            <w:gridSpan w:val="6"/>
            <w:tcBorders>
              <w:top w:val="nil"/>
              <w:left w:val="nil"/>
              <w:bottom w:val="nil"/>
              <w:right w:val="nil"/>
            </w:tcBorders>
            <w:shd w:val="clear" w:color="auto" w:fill="auto"/>
            <w:noWrap/>
            <w:vAlign w:val="center"/>
          </w:tcPr>
          <w:p>
            <w:pPr>
              <w:widowControl/>
              <w:jc w:val="left"/>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编制部门：</w:t>
            </w:r>
            <w:r>
              <w:rPr>
                <w:rFonts w:hint="eastAsia" w:asciiTheme="minorEastAsia" w:hAnsiTheme="minorEastAsia" w:eastAsiaTheme="minorEastAsia" w:cstheme="minorEastAsia"/>
                <w:kern w:val="0"/>
                <w:sz w:val="20"/>
                <w:szCs w:val="20"/>
              </w:rPr>
              <w:t>石油新村街道办事处</w:t>
            </w:r>
          </w:p>
        </w:tc>
        <w:tc>
          <w:tcPr>
            <w:tcW w:w="697" w:type="dxa"/>
            <w:tcBorders>
              <w:top w:val="nil"/>
              <w:left w:val="nil"/>
              <w:bottom w:val="nil"/>
              <w:right w:val="nil"/>
            </w:tcBorders>
            <w:shd w:val="clear" w:color="auto" w:fill="auto"/>
            <w:noWrap/>
            <w:vAlign w:val="center"/>
          </w:tcPr>
          <w:p>
            <w:pPr>
              <w:widowControl/>
              <w:jc w:val="left"/>
              <w:rPr>
                <w:rFonts w:asciiTheme="minorEastAsia" w:hAnsiTheme="minorEastAsia" w:eastAsiaTheme="minorEastAsia" w:cstheme="minorEastAsia"/>
                <w:color w:val="000000"/>
                <w:kern w:val="0"/>
                <w:sz w:val="20"/>
                <w:szCs w:val="20"/>
              </w:rPr>
            </w:pPr>
          </w:p>
        </w:tc>
        <w:tc>
          <w:tcPr>
            <w:tcW w:w="1980" w:type="dxa"/>
            <w:gridSpan w:val="3"/>
            <w:tcBorders>
              <w:top w:val="nil"/>
              <w:left w:val="nil"/>
              <w:bottom w:val="nil"/>
              <w:right w:val="nil"/>
            </w:tcBorders>
            <w:shd w:val="clear" w:color="auto" w:fill="auto"/>
            <w:noWrap/>
            <w:vAlign w:val="center"/>
          </w:tcPr>
          <w:p>
            <w:pPr>
              <w:widowControl/>
              <w:jc w:val="left"/>
              <w:rPr>
                <w:rFonts w:asciiTheme="minorEastAsia" w:hAnsiTheme="minorEastAsia" w:eastAsiaTheme="minorEastAsia" w:cstheme="minorEastAsia"/>
                <w:color w:val="000000"/>
                <w:kern w:val="0"/>
                <w:sz w:val="20"/>
                <w:szCs w:val="20"/>
              </w:rPr>
            </w:pPr>
          </w:p>
        </w:tc>
        <w:tc>
          <w:tcPr>
            <w:tcW w:w="2426" w:type="dxa"/>
            <w:gridSpan w:val="5"/>
            <w:tcBorders>
              <w:top w:val="nil"/>
              <w:left w:val="nil"/>
              <w:bottom w:val="nil"/>
              <w:right w:val="nil"/>
            </w:tcBorders>
            <w:shd w:val="clear" w:color="auto" w:fill="auto"/>
            <w:noWrap/>
            <w:vAlign w:val="center"/>
          </w:tcPr>
          <w:p>
            <w:pPr>
              <w:widowControl/>
              <w:ind w:firstLine="800" w:firstLineChars="400"/>
              <w:rPr>
                <w:rFonts w:asciiTheme="minorEastAsia" w:hAnsiTheme="minorEastAsia" w:eastAsiaTheme="minorEastAsia" w:cstheme="minorEastAsia"/>
                <w:color w:val="000000"/>
                <w:kern w:val="0"/>
                <w:sz w:val="20"/>
                <w:szCs w:val="20"/>
              </w:rPr>
            </w:pPr>
            <w:r>
              <w:rPr>
                <w:rFonts w:hint="eastAsia" w:asciiTheme="minorEastAsia" w:hAnsiTheme="minorEastAsia" w:eastAsiaTheme="minorEastAsia" w:cstheme="minorEastAsia"/>
                <w:color w:val="000000"/>
                <w:kern w:val="0"/>
                <w:sz w:val="20"/>
                <w:szCs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329"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1082"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17"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875"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46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86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713"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72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672"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68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68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7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63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531"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2"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40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1082"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17"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75"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6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86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13"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2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72"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8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8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7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3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总计:</w:t>
            </w:r>
          </w:p>
        </w:tc>
        <w:tc>
          <w:tcPr>
            <w:tcW w:w="392" w:type="dxa"/>
            <w:shd w:val="clear" w:color="auto" w:fill="auto"/>
          </w:tcPr>
          <w:p>
            <w:pPr>
              <w:rPr>
                <w:rFonts w:cs="仿宋_GB2312" w:asciiTheme="majorEastAsia" w:hAnsiTheme="majorEastAsia" w:eastAsiaTheme="majorEastAsia"/>
                <w:sz w:val="16"/>
                <w:szCs w:val="16"/>
              </w:rPr>
            </w:pPr>
          </w:p>
        </w:tc>
        <w:tc>
          <w:tcPr>
            <w:tcW w:w="406" w:type="dxa"/>
            <w:gridSpan w:val="2"/>
            <w:shd w:val="clear" w:color="auto" w:fill="auto"/>
          </w:tcPr>
          <w:p>
            <w:pPr>
              <w:rPr>
                <w:rFonts w:cs="仿宋_GB2312" w:asciiTheme="majorEastAsia" w:hAnsiTheme="majorEastAsia" w:eastAsiaTheme="majorEastAsia"/>
                <w:sz w:val="16"/>
                <w:szCs w:val="16"/>
              </w:rPr>
            </w:pPr>
          </w:p>
        </w:tc>
        <w:tc>
          <w:tcPr>
            <w:tcW w:w="1082" w:type="dxa"/>
            <w:shd w:val="clear" w:color="auto" w:fill="auto"/>
          </w:tcPr>
          <w:p>
            <w:pPr>
              <w:rPr>
                <w:rFonts w:cs="仿宋_GB2312" w:asciiTheme="majorEastAsia" w:hAnsiTheme="majorEastAsia" w:eastAsiaTheme="majorEastAsia"/>
                <w:sz w:val="16"/>
                <w:szCs w:val="16"/>
              </w:rPr>
            </w:pPr>
          </w:p>
        </w:tc>
        <w:tc>
          <w:tcPr>
            <w:tcW w:w="1417" w:type="dxa"/>
            <w:shd w:val="clear" w:color="auto" w:fill="auto"/>
          </w:tcPr>
          <w:p>
            <w:pPr>
              <w:rPr>
                <w:rFonts w:cs="仿宋_GB2312" w:asciiTheme="majorEastAsia" w:hAnsiTheme="majorEastAsia" w:eastAsiaTheme="majorEastAsia"/>
                <w:sz w:val="16"/>
                <w:szCs w:val="16"/>
              </w:rPr>
            </w:pP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3,432.56</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2,585.49</w:t>
            </w: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823.27</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23.80</w:t>
            </w: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rPr>
                <w:rFonts w:cs="仿宋_GB2312" w:asciiTheme="majorEastAsia" w:hAnsiTheme="majorEastAsia" w:eastAsiaTheme="majorEastAsia"/>
                <w:sz w:val="16"/>
                <w:szCs w:val="16"/>
              </w:rPr>
            </w:pPr>
          </w:p>
        </w:tc>
        <w:tc>
          <w:tcPr>
            <w:tcW w:w="392" w:type="dxa"/>
            <w:shd w:val="clear" w:color="auto" w:fill="auto"/>
          </w:tcPr>
          <w:p>
            <w:pPr>
              <w:rPr>
                <w:rFonts w:cs="仿宋_GB2312" w:asciiTheme="majorEastAsia" w:hAnsiTheme="majorEastAsia" w:eastAsiaTheme="majorEastAsia"/>
                <w:sz w:val="16"/>
                <w:szCs w:val="16"/>
              </w:rPr>
            </w:pPr>
          </w:p>
        </w:tc>
        <w:tc>
          <w:tcPr>
            <w:tcW w:w="406" w:type="dxa"/>
            <w:gridSpan w:val="2"/>
            <w:shd w:val="clear" w:color="auto" w:fill="auto"/>
          </w:tcPr>
          <w:p>
            <w:pPr>
              <w:rPr>
                <w:rFonts w:cs="仿宋_GB2312" w:asciiTheme="majorEastAsia" w:hAnsiTheme="majorEastAsia" w:eastAsiaTheme="majorEastAsia"/>
                <w:sz w:val="16"/>
                <w:szCs w:val="16"/>
              </w:rPr>
            </w:pP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石油新村（政府办公厅及相关机构事务）</w:t>
            </w:r>
          </w:p>
        </w:tc>
        <w:tc>
          <w:tcPr>
            <w:tcW w:w="1417" w:type="dxa"/>
            <w:shd w:val="clear" w:color="auto" w:fill="auto"/>
          </w:tcPr>
          <w:p>
            <w:pPr>
              <w:rPr>
                <w:rFonts w:cs="仿宋_GB2312" w:asciiTheme="majorEastAsia" w:hAnsiTheme="majorEastAsia" w:eastAsiaTheme="majorEastAsia"/>
                <w:sz w:val="16"/>
                <w:szCs w:val="16"/>
              </w:rPr>
            </w:pP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100.00</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100.00</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201</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03</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其他政府办公厅（室）及相关机构事务支出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工作经费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100.00</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100.00</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rPr>
                <w:rFonts w:cs="仿宋_GB2312" w:asciiTheme="majorEastAsia" w:hAnsiTheme="majorEastAsia" w:eastAsiaTheme="majorEastAsia"/>
                <w:sz w:val="16"/>
                <w:szCs w:val="16"/>
              </w:rPr>
            </w:pPr>
          </w:p>
        </w:tc>
        <w:tc>
          <w:tcPr>
            <w:tcW w:w="392" w:type="dxa"/>
            <w:shd w:val="clear" w:color="auto" w:fill="auto"/>
          </w:tcPr>
          <w:p>
            <w:pPr>
              <w:rPr>
                <w:rFonts w:cs="仿宋_GB2312" w:asciiTheme="majorEastAsia" w:hAnsiTheme="majorEastAsia" w:eastAsiaTheme="majorEastAsia"/>
                <w:sz w:val="16"/>
                <w:szCs w:val="16"/>
              </w:rPr>
            </w:pPr>
          </w:p>
        </w:tc>
        <w:tc>
          <w:tcPr>
            <w:tcW w:w="406" w:type="dxa"/>
            <w:gridSpan w:val="2"/>
            <w:shd w:val="clear" w:color="auto" w:fill="auto"/>
          </w:tcPr>
          <w:p>
            <w:pPr>
              <w:rPr>
                <w:rFonts w:cs="仿宋_GB2312" w:asciiTheme="majorEastAsia" w:hAnsiTheme="majorEastAsia" w:eastAsiaTheme="majorEastAsia"/>
                <w:sz w:val="16"/>
                <w:szCs w:val="16"/>
              </w:rPr>
            </w:pP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石油新村（基层政权和社区建设）</w:t>
            </w:r>
          </w:p>
        </w:tc>
        <w:tc>
          <w:tcPr>
            <w:tcW w:w="1417" w:type="dxa"/>
            <w:shd w:val="clear" w:color="auto" w:fill="auto"/>
          </w:tcPr>
          <w:p>
            <w:pPr>
              <w:rPr>
                <w:rFonts w:cs="仿宋_GB2312" w:asciiTheme="majorEastAsia" w:hAnsiTheme="majorEastAsia" w:eastAsiaTheme="majorEastAsia"/>
                <w:sz w:val="16"/>
                <w:szCs w:val="16"/>
              </w:rPr>
            </w:pP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986.52</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763.75</w:t>
            </w: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222.77</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包户考核奖励</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91.56</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91.56</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公岗人员工作经费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71.06</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71.06</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伙食补助</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172.69</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172.69</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基层岗位补贴</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59.03</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59.03</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楼栋长津贴</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71.10</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71.10</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南疆挂职干部补贴</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1.08</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1.08</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208</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02</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08</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基层政权和社区建设</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社区经费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520.00</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520.00</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rPr>
                <w:rFonts w:cs="仿宋_GB2312" w:asciiTheme="majorEastAsia" w:hAnsiTheme="majorEastAsia" w:eastAsiaTheme="majorEastAsia"/>
                <w:sz w:val="16"/>
                <w:szCs w:val="16"/>
              </w:rPr>
            </w:pPr>
          </w:p>
        </w:tc>
        <w:tc>
          <w:tcPr>
            <w:tcW w:w="392" w:type="dxa"/>
            <w:shd w:val="clear" w:color="auto" w:fill="auto"/>
          </w:tcPr>
          <w:p>
            <w:pPr>
              <w:rPr>
                <w:rFonts w:cs="仿宋_GB2312" w:asciiTheme="majorEastAsia" w:hAnsiTheme="majorEastAsia" w:eastAsiaTheme="majorEastAsia"/>
                <w:sz w:val="16"/>
                <w:szCs w:val="16"/>
              </w:rPr>
            </w:pPr>
          </w:p>
        </w:tc>
        <w:tc>
          <w:tcPr>
            <w:tcW w:w="406" w:type="dxa"/>
            <w:gridSpan w:val="2"/>
            <w:shd w:val="clear" w:color="auto" w:fill="auto"/>
          </w:tcPr>
          <w:p>
            <w:pPr>
              <w:rPr>
                <w:rFonts w:cs="仿宋_GB2312" w:asciiTheme="majorEastAsia" w:hAnsiTheme="majorEastAsia" w:eastAsiaTheme="majorEastAsia"/>
                <w:sz w:val="16"/>
                <w:szCs w:val="16"/>
              </w:rPr>
            </w:pP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石油新村（其它公共安全支出）</w:t>
            </w:r>
          </w:p>
        </w:tc>
        <w:tc>
          <w:tcPr>
            <w:tcW w:w="1417" w:type="dxa"/>
            <w:shd w:val="clear" w:color="auto" w:fill="auto"/>
          </w:tcPr>
          <w:p>
            <w:pPr>
              <w:rPr>
                <w:rFonts w:cs="仿宋_GB2312" w:asciiTheme="majorEastAsia" w:hAnsiTheme="majorEastAsia" w:eastAsiaTheme="majorEastAsia"/>
                <w:sz w:val="16"/>
                <w:szCs w:val="16"/>
              </w:rPr>
            </w:pP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2,346.04</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1,721.74</w:t>
            </w: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600.50</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23.80</w:t>
            </w: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便民警务站餐费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252.59</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252.59</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便民警务站服装经费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72.36</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72.36</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便民警务站运行经费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107.92</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107.92</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便民警务站装备经费</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23.80</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23.80</w:t>
            </w: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非在编人员补助（公岗）</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290.64</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290.64</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非在编人员补助（巡逻员）</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157.22</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157.22</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巡控人员工资社保及管理费（劳务派遣公司）</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1,288.87</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1,288.87</w:t>
            </w:r>
          </w:p>
        </w:tc>
        <w:tc>
          <w:tcPr>
            <w:tcW w:w="713" w:type="dxa"/>
            <w:shd w:val="clear" w:color="auto" w:fill="auto"/>
          </w:tcPr>
          <w:p>
            <w:pPr>
              <w:jc w:val="right"/>
              <w:rPr>
                <w:rFonts w:cs="仿宋_GB2312" w:asciiTheme="majorEastAsia" w:hAnsiTheme="majorEastAsia" w:eastAsiaTheme="majorEastAsia"/>
                <w:sz w:val="16"/>
                <w:szCs w:val="16"/>
              </w:rPr>
            </w:pP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531"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204</w:t>
            </w:r>
          </w:p>
        </w:tc>
        <w:tc>
          <w:tcPr>
            <w:tcW w:w="39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99</w:t>
            </w:r>
          </w:p>
        </w:tc>
        <w:tc>
          <w:tcPr>
            <w:tcW w:w="406" w:type="dxa"/>
            <w:gridSpan w:val="2"/>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01</w:t>
            </w:r>
          </w:p>
        </w:tc>
        <w:tc>
          <w:tcPr>
            <w:tcW w:w="1082"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其他公共安全支出</w:t>
            </w:r>
          </w:p>
        </w:tc>
        <w:tc>
          <w:tcPr>
            <w:tcW w:w="1417" w:type="dxa"/>
            <w:shd w:val="clear" w:color="auto" w:fill="auto"/>
          </w:tcPr>
          <w:p>
            <w:pPr>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巡逻员工资</w:t>
            </w:r>
          </w:p>
        </w:tc>
        <w:tc>
          <w:tcPr>
            <w:tcW w:w="875"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152.64</w:t>
            </w:r>
          </w:p>
        </w:tc>
        <w:tc>
          <w:tcPr>
            <w:tcW w:w="462" w:type="dxa"/>
            <w:shd w:val="clear" w:color="auto" w:fill="auto"/>
          </w:tcPr>
          <w:p>
            <w:pPr>
              <w:jc w:val="right"/>
              <w:rPr>
                <w:rFonts w:cs="仿宋_GB2312" w:asciiTheme="majorEastAsia" w:hAnsiTheme="majorEastAsia" w:eastAsiaTheme="majorEastAsia"/>
                <w:sz w:val="16"/>
                <w:szCs w:val="16"/>
              </w:rPr>
            </w:pPr>
          </w:p>
        </w:tc>
        <w:tc>
          <w:tcPr>
            <w:tcW w:w="868" w:type="dxa"/>
            <w:gridSpan w:val="2"/>
            <w:shd w:val="clear" w:color="auto" w:fill="auto"/>
          </w:tcPr>
          <w:p>
            <w:pPr>
              <w:jc w:val="right"/>
              <w:rPr>
                <w:rFonts w:cs="仿宋_GB2312" w:asciiTheme="majorEastAsia" w:hAnsiTheme="majorEastAsia" w:eastAsiaTheme="majorEastAsia"/>
                <w:sz w:val="16"/>
                <w:szCs w:val="16"/>
              </w:rPr>
            </w:pPr>
          </w:p>
        </w:tc>
        <w:tc>
          <w:tcPr>
            <w:tcW w:w="713" w:type="dxa"/>
            <w:shd w:val="clear" w:color="auto" w:fill="auto"/>
          </w:tcPr>
          <w:p>
            <w:pPr>
              <w:jc w:val="right"/>
              <w:textAlignment w:val="top"/>
              <w:rPr>
                <w:rFonts w:cs="仿宋_GB2312" w:asciiTheme="majorEastAsia" w:hAnsiTheme="majorEastAsia" w:eastAsiaTheme="majorEastAsia"/>
                <w:sz w:val="16"/>
                <w:szCs w:val="16"/>
              </w:rPr>
            </w:pPr>
            <w:r>
              <w:rPr>
                <w:rFonts w:hint="eastAsia" w:cs="仿宋_GB2312" w:asciiTheme="majorEastAsia" w:hAnsiTheme="majorEastAsia" w:eastAsiaTheme="majorEastAsia"/>
                <w:color w:val="000000"/>
                <w:sz w:val="16"/>
                <w:szCs w:val="16"/>
              </w:rPr>
              <w:t>152.64</w:t>
            </w:r>
          </w:p>
        </w:tc>
        <w:tc>
          <w:tcPr>
            <w:tcW w:w="728" w:type="dxa"/>
            <w:shd w:val="clear" w:color="auto" w:fill="auto"/>
          </w:tcPr>
          <w:p>
            <w:pPr>
              <w:jc w:val="right"/>
              <w:rPr>
                <w:rFonts w:cs="仿宋_GB2312" w:asciiTheme="majorEastAsia" w:hAnsiTheme="majorEastAsia" w:eastAsiaTheme="majorEastAsia"/>
                <w:sz w:val="16"/>
                <w:szCs w:val="16"/>
              </w:rPr>
            </w:pPr>
          </w:p>
        </w:tc>
        <w:tc>
          <w:tcPr>
            <w:tcW w:w="672" w:type="dxa"/>
            <w:gridSpan w:val="2"/>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686" w:type="dxa"/>
            <w:shd w:val="clear" w:color="auto" w:fill="auto"/>
          </w:tcPr>
          <w:p>
            <w:pPr>
              <w:jc w:val="right"/>
              <w:rPr>
                <w:rFonts w:cs="仿宋_GB2312" w:asciiTheme="majorEastAsia" w:hAnsiTheme="majorEastAsia" w:eastAsiaTheme="majorEastAsia"/>
                <w:sz w:val="16"/>
                <w:szCs w:val="16"/>
              </w:rPr>
            </w:pPr>
          </w:p>
        </w:tc>
        <w:tc>
          <w:tcPr>
            <w:tcW w:w="476" w:type="dxa"/>
            <w:shd w:val="clear" w:color="auto" w:fill="auto"/>
          </w:tcPr>
          <w:p>
            <w:pPr>
              <w:jc w:val="right"/>
              <w:rPr>
                <w:rFonts w:cs="仿宋_GB2312" w:asciiTheme="majorEastAsia" w:hAnsiTheme="majorEastAsia" w:eastAsiaTheme="majorEastAsia"/>
                <w:sz w:val="16"/>
                <w:szCs w:val="16"/>
              </w:rPr>
            </w:pPr>
          </w:p>
        </w:tc>
        <w:tc>
          <w:tcPr>
            <w:tcW w:w="638" w:type="dxa"/>
            <w:gridSpan w:val="2"/>
            <w:shd w:val="clear" w:color="auto" w:fill="auto"/>
          </w:tcPr>
          <w:p>
            <w:pPr>
              <w:jc w:val="right"/>
              <w:rPr>
                <w:rFonts w:cs="仿宋_GB2312" w:asciiTheme="majorEastAsia" w:hAnsiTheme="majorEastAsia" w:eastAsiaTheme="majorEastAsia"/>
                <w:sz w:val="16"/>
                <w:szCs w:val="16"/>
              </w:rPr>
            </w:pPr>
          </w:p>
        </w:tc>
        <w:tc>
          <w:tcPr>
            <w:tcW w:w="398" w:type="dxa"/>
            <w:shd w:val="clear" w:color="auto" w:fill="auto"/>
          </w:tcPr>
          <w:p>
            <w:pPr>
              <w:jc w:val="right"/>
              <w:rPr>
                <w:rFonts w:cs="仿宋_GB2312" w:asciiTheme="majorEastAsia" w:hAnsiTheme="majorEastAsia" w:eastAsiaTheme="majorEastAsia"/>
                <w:sz w:val="16"/>
                <w:szCs w:val="16"/>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sectPr>
          <w:headerReference r:id="rId3" w:type="default"/>
          <w:footerReference r:id="rId4" w:type="default"/>
          <w:pgSz w:w="11906" w:h="16838"/>
          <w:pgMar w:top="1440" w:right="1418" w:bottom="1247" w:left="1418" w:header="851" w:footer="992" w:gutter="0"/>
          <w:pgNumType w:fmt="numberInDash"/>
          <w:cols w:space="720" w:num="1"/>
          <w:docGrid w:linePitch="312" w:charSpace="0"/>
        </w:sect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kern w:val="0"/>
          <w:sz w:val="32"/>
          <w:szCs w:val="32"/>
        </w:rPr>
        <w:t>一般公共预算“三公”经费支出情况表</w:t>
      </w:r>
    </w:p>
    <w:p>
      <w:pPr>
        <w:widowControl/>
        <w:jc w:val="center"/>
        <w:outlineLvl w:val="1"/>
        <w:rPr>
          <w:rFonts w:asciiTheme="majorEastAsia" w:hAnsiTheme="majorEastAsia" w:eastAsiaTheme="majorEastAsia" w:cstheme="majorEastAsia"/>
          <w:b/>
          <w:kern w:val="0"/>
          <w:sz w:val="32"/>
          <w:szCs w:val="32"/>
        </w:rPr>
      </w:pPr>
    </w:p>
    <w:p>
      <w:pPr>
        <w:widowControl/>
        <w:jc w:val="left"/>
        <w:outlineLvl w:val="1"/>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编制单位：石油新村街道办事处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7"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418"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4.54</w:t>
            </w:r>
          </w:p>
        </w:tc>
        <w:tc>
          <w:tcPr>
            <w:tcW w:w="1559" w:type="dxa"/>
            <w:tcBorders>
              <w:top w:val="nil"/>
              <w:left w:val="nil"/>
              <w:bottom w:val="nil"/>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jc w:val="center"/>
        <w:outlineLvl w:val="1"/>
        <w:rPr>
          <w:rFonts w:ascii="仿宋_GB2312" w:hAnsi="宋体" w:eastAsia="仿宋_GB2312"/>
          <w:b/>
          <w:kern w:val="0"/>
          <w:sz w:val="32"/>
          <w:szCs w:val="32"/>
        </w:rPr>
      </w:pPr>
    </w:p>
    <w:p>
      <w:pPr>
        <w:widowControl/>
        <w:outlineLvl w:val="1"/>
        <w:rPr>
          <w:rFonts w:asciiTheme="majorEastAsia" w:hAnsiTheme="majorEastAsia" w:eastAsiaTheme="majorEastAsia" w:cstheme="majorEastAsia"/>
          <w:kern w:val="0"/>
          <w:sz w:val="20"/>
          <w:szCs w:val="20"/>
        </w:rPr>
      </w:pPr>
      <w:r>
        <w:rPr>
          <w:rFonts w:hint="eastAsia" w:asciiTheme="majorEastAsia" w:hAnsiTheme="majorEastAsia" w:eastAsiaTheme="majorEastAsia" w:cstheme="majorEastAsia"/>
          <w:kern w:val="0"/>
          <w:sz w:val="20"/>
          <w:szCs w:val="20"/>
        </w:rPr>
        <w:t>编制单位：石油新村街道办事处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bl>
    <w:p>
      <w:pPr>
        <w:widowControl/>
        <w:jc w:val="left"/>
        <w:outlineLvl w:val="1"/>
        <w:rPr>
          <w:rFonts w:ascii="黑体" w:hAnsi="黑体" w:eastAsia="黑体"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石油新村街道办事处2019年没有使用政府性基金预算拨款安排的支出，政府性基金预算支出情况表为空表。</w:t>
      </w:r>
    </w:p>
    <w:p>
      <w:pPr>
        <w:spacing w:before="156" w:beforeLines="50"/>
        <w:jc w:val="center"/>
        <w:outlineLvl w:val="1"/>
        <w:rPr>
          <w:rFonts w:ascii="黑体" w:hAnsi="黑体" w:eastAsia="黑体" w:cs="仿宋"/>
          <w:sz w:val="32"/>
          <w:szCs w:val="32"/>
        </w:rPr>
      </w:pPr>
      <w:r>
        <w:rPr>
          <w:rFonts w:hint="eastAsia" w:ascii="黑体" w:hAnsi="黑体" w:eastAsia="黑体" w:cs="仿宋"/>
          <w:sz w:val="32"/>
          <w:szCs w:val="32"/>
        </w:rPr>
        <w:t>第三部分 2019年部门预算情况说明</w:t>
      </w:r>
    </w:p>
    <w:p>
      <w:pPr>
        <w:spacing w:line="580" w:lineRule="exact"/>
        <w:ind w:firstLine="640"/>
        <w:rPr>
          <w:rFonts w:ascii="仿宋" w:hAnsi="仿宋" w:eastAsia="仿宋" w:cs="仿宋"/>
          <w:bCs/>
          <w:sz w:val="32"/>
          <w:szCs w:val="32"/>
        </w:rPr>
      </w:pPr>
    </w:p>
    <w:p>
      <w:pPr>
        <w:numPr>
          <w:ilvl w:val="0"/>
          <w:numId w:val="1"/>
        </w:numPr>
        <w:spacing w:before="156" w:beforeLines="50"/>
        <w:jc w:val="center"/>
        <w:outlineLvl w:val="1"/>
        <w:rPr>
          <w:rFonts w:ascii="黑体" w:hAnsi="黑体" w:eastAsia="黑体" w:cs="仿宋"/>
          <w:sz w:val="32"/>
          <w:szCs w:val="32"/>
        </w:rPr>
      </w:pPr>
      <w:r>
        <w:rPr>
          <w:rFonts w:hint="eastAsia" w:ascii="黑体" w:hAnsi="黑体" w:eastAsia="黑体" w:cs="仿宋"/>
          <w:sz w:val="32"/>
          <w:szCs w:val="32"/>
        </w:rPr>
        <w:t>关于石油新村街道办事处2019年收支预算情况的总体</w:t>
      </w:r>
    </w:p>
    <w:p>
      <w:pPr>
        <w:spacing w:before="156" w:beforeLines="50"/>
        <w:ind w:firstLine="960" w:firstLineChars="300"/>
        <w:outlineLvl w:val="1"/>
        <w:rPr>
          <w:rFonts w:ascii="黑体" w:hAnsi="黑体" w:eastAsia="黑体" w:cs="仿宋"/>
          <w:sz w:val="32"/>
          <w:szCs w:val="32"/>
        </w:rPr>
      </w:pPr>
      <w:r>
        <w:rPr>
          <w:rFonts w:hint="eastAsia" w:ascii="黑体" w:hAnsi="黑体" w:eastAsia="黑体" w:cs="仿宋"/>
          <w:sz w:val="32"/>
          <w:szCs w:val="32"/>
        </w:rPr>
        <w:t>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按照全口径预算的原则，石油新村街道办事处2019年所有收入和支出均纳入部门预算管理。收支总预算5395.42万元。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收入预算包括：一般公共预算5395.42万元。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支出预算包括：一般公共服务支出1543.37万元、公共安全支出2673.70万元、社会保障和就业支出1142.56万元、医疗卫生与计划生育支出35.79万元。</w:t>
      </w:r>
    </w:p>
    <w:p>
      <w:pPr>
        <w:spacing w:before="156" w:beforeLines="50"/>
        <w:outlineLvl w:val="1"/>
        <w:rPr>
          <w:rFonts w:ascii="黑体" w:hAnsi="黑体" w:eastAsia="黑体" w:cs="仿宋"/>
          <w:sz w:val="32"/>
          <w:szCs w:val="32"/>
        </w:rPr>
      </w:pPr>
      <w:r>
        <w:rPr>
          <w:rFonts w:hint="eastAsia" w:ascii="黑体" w:hAnsi="黑体" w:eastAsia="黑体" w:cs="仿宋"/>
          <w:sz w:val="32"/>
          <w:szCs w:val="32"/>
        </w:rPr>
        <w:t>二、关于石油新村街道办事处2019年收入预算情况说明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部门收入预算5395.42万元，其中：</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一般公共预算5395.42万元，比上年减少886.58万元，主要原因办事处购置办公用房及装修基本结束。</w:t>
      </w:r>
    </w:p>
    <w:p>
      <w:pPr>
        <w:spacing w:line="580" w:lineRule="exact"/>
        <w:ind w:firstLine="640"/>
        <w:rPr>
          <w:rFonts w:ascii="仿宋" w:hAnsi="仿宋" w:eastAsia="仿宋" w:cs="仿宋"/>
          <w:b/>
          <w:sz w:val="32"/>
          <w:szCs w:val="32"/>
        </w:rPr>
      </w:pPr>
      <w:r>
        <w:rPr>
          <w:rFonts w:hint="eastAsia" w:ascii="仿宋" w:hAnsi="仿宋" w:eastAsia="仿宋" w:cs="仿宋"/>
          <w:sz w:val="32"/>
          <w:szCs w:val="32"/>
        </w:rPr>
        <w:t>政府性基金预算拨款未安排。</w:t>
      </w:r>
    </w:p>
    <w:p>
      <w:pPr>
        <w:spacing w:before="156" w:beforeLines="50"/>
        <w:outlineLvl w:val="1"/>
        <w:rPr>
          <w:rFonts w:ascii="黑体" w:hAnsi="黑体" w:eastAsia="黑体" w:cs="仿宋"/>
          <w:sz w:val="32"/>
          <w:szCs w:val="32"/>
        </w:rPr>
      </w:pPr>
      <w:r>
        <w:rPr>
          <w:rFonts w:hint="eastAsia" w:ascii="黑体" w:hAnsi="黑体" w:eastAsia="黑体" w:cs="仿宋"/>
          <w:sz w:val="32"/>
          <w:szCs w:val="32"/>
        </w:rPr>
        <w:t>三、关于石油新村街道办事处2019年支出预算情况说明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石油新村街道办事处2019年支出预算5395.42万元，其中：</w:t>
      </w:r>
    </w:p>
    <w:p>
      <w:pPr>
        <w:spacing w:line="580" w:lineRule="exact"/>
        <w:ind w:firstLine="640"/>
        <w:rPr>
          <w:rFonts w:ascii="仿宋" w:hAnsi="仿宋" w:eastAsia="仿宋" w:cs="仿宋"/>
          <w:b/>
          <w:sz w:val="32"/>
          <w:szCs w:val="32"/>
        </w:rPr>
      </w:pPr>
      <w:r>
        <w:rPr>
          <w:rFonts w:hint="eastAsia" w:ascii="仿宋" w:hAnsi="仿宋" w:eastAsia="仿宋" w:cs="仿宋"/>
          <w:sz w:val="32"/>
          <w:szCs w:val="32"/>
        </w:rPr>
        <w:t>基本支出1962.86万元，比上年增加122.59万元，</w:t>
      </w:r>
      <w:r>
        <w:rPr>
          <w:rFonts w:hint="eastAsia" w:ascii="仿宋" w:hAnsi="仿宋" w:eastAsia="仿宋" w:cs="仿宋"/>
          <w:sz w:val="32"/>
          <w:szCs w:val="32"/>
          <w:lang w:val="zh-CN"/>
        </w:rPr>
        <w:t>主要原因是新增一个警务站及每年增加新纳编人员。</w:t>
      </w:r>
    </w:p>
    <w:p>
      <w:pPr>
        <w:widowControl/>
        <w:spacing w:line="580" w:lineRule="exact"/>
        <w:ind w:firstLine="640"/>
        <w:jc w:val="left"/>
        <w:rPr>
          <w:rFonts w:ascii="仿宋" w:hAnsi="仿宋" w:eastAsia="仿宋" w:cs="仿宋"/>
          <w:sz w:val="32"/>
          <w:szCs w:val="32"/>
          <w:lang w:val="zh-CN"/>
        </w:rPr>
      </w:pPr>
      <w:r>
        <w:rPr>
          <w:rFonts w:hint="eastAsia" w:ascii="仿宋" w:hAnsi="仿宋" w:eastAsia="仿宋" w:cs="仿宋"/>
          <w:sz w:val="32"/>
          <w:szCs w:val="32"/>
        </w:rPr>
        <w:t>项目支出3432.56万元，</w:t>
      </w:r>
      <w:r>
        <w:rPr>
          <w:rFonts w:hint="eastAsia" w:ascii="仿宋" w:hAnsi="仿宋" w:eastAsia="仿宋" w:cs="仿宋"/>
          <w:sz w:val="32"/>
          <w:szCs w:val="32"/>
          <w:lang w:val="zh-CN"/>
        </w:rPr>
        <w:t>比上年减少1009.17万元，主要原因是街道购置办公用房项目已结束。</w:t>
      </w:r>
    </w:p>
    <w:p>
      <w:pPr>
        <w:spacing w:before="156" w:beforeLines="50"/>
        <w:ind w:left="640" w:hanging="640" w:hangingChars="200"/>
        <w:outlineLvl w:val="1"/>
        <w:rPr>
          <w:rFonts w:ascii="黑体" w:hAnsi="黑体" w:eastAsia="黑体" w:cs="仿宋"/>
          <w:sz w:val="32"/>
          <w:szCs w:val="32"/>
        </w:rPr>
      </w:pPr>
      <w:r>
        <w:rPr>
          <w:rFonts w:hint="eastAsia" w:ascii="黑体" w:hAnsi="黑体" w:eastAsia="黑体" w:cs="仿宋"/>
          <w:sz w:val="32"/>
          <w:szCs w:val="32"/>
        </w:rPr>
        <w:t>四、关于石油新村街道办事处2019年财政拨款收支预算情况的总体说明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财政拨款收支总预算5395.42万元。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收入全部为一般公共预算拨款，无政府性基金预算拨款。</w:t>
      </w:r>
    </w:p>
    <w:p>
      <w:pPr>
        <w:spacing w:before="156" w:beforeLines="50"/>
        <w:ind w:left="640" w:hanging="640" w:hangingChars="200"/>
        <w:outlineLvl w:val="1"/>
        <w:rPr>
          <w:rFonts w:ascii="黑体" w:hAnsi="黑体" w:eastAsia="黑体" w:cs="仿宋"/>
          <w:sz w:val="32"/>
          <w:szCs w:val="32"/>
        </w:rPr>
      </w:pPr>
      <w:r>
        <w:rPr>
          <w:rFonts w:hint="eastAsia" w:ascii="黑体" w:hAnsi="黑体" w:eastAsia="黑体" w:cs="仿宋"/>
          <w:sz w:val="32"/>
          <w:szCs w:val="32"/>
        </w:rPr>
        <w:t>五、关于石油新村街道办事处2019年一般公共预算当年拨款情况说明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 xml:space="preserve">（一）一般公用预算当年拨款规模变化情况 </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石油新村街道办事处2019年一般公共预算拨款基本支出</w:t>
      </w:r>
      <w:r>
        <w:rPr>
          <w:rFonts w:hint="eastAsia" w:ascii="仿宋" w:hAnsi="仿宋" w:eastAsia="仿宋" w:cs="仿宋"/>
          <w:bCs/>
          <w:sz w:val="32"/>
          <w:szCs w:val="32"/>
        </w:rPr>
        <w:t>1962.86</w:t>
      </w:r>
      <w:r>
        <w:rPr>
          <w:rFonts w:hint="eastAsia" w:ascii="仿宋" w:hAnsi="仿宋" w:eastAsia="仿宋" w:cs="仿宋"/>
          <w:sz w:val="32"/>
          <w:szCs w:val="32"/>
        </w:rPr>
        <w:t>万元，比上年执行数增加122.59万元，增长6.2 %。主要原因是：增加新纳编人数较多，干部调资和非在编人员补助增加。</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 xml:space="preserve">（二）一般公共预算当年拨款结构情况 </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 xml:space="preserve">1.一般公共服务支出355.78万元，占18.12%。 </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2.医疗卫生与计划生育支出46.86万元，占2.4%。</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3.社会保障和就业支出1520.58万元，占77.47%。</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4.公共安全支出39.64万元，占2.01%</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 xml:space="preserve">（三）一般公共预算当年拨款具体使用情况 </w:t>
      </w:r>
    </w:p>
    <w:p>
      <w:pPr>
        <w:spacing w:line="580" w:lineRule="exact"/>
        <w:ind w:firstLine="640"/>
        <w:rPr>
          <w:rFonts w:ascii="仿宋" w:hAnsi="仿宋" w:eastAsia="仿宋" w:cs="仿宋"/>
          <w:b/>
          <w:bCs/>
          <w:sz w:val="32"/>
          <w:szCs w:val="32"/>
        </w:rPr>
      </w:pPr>
      <w:r>
        <w:rPr>
          <w:rFonts w:hint="eastAsia" w:ascii="仿宋" w:hAnsi="仿宋" w:eastAsia="仿宋" w:cs="仿宋"/>
          <w:sz w:val="32"/>
          <w:szCs w:val="32"/>
        </w:rPr>
        <w:t>1、石油新村街道一般公共服务支出（类）政府办公厅（室）及相关机构事务（款）行政运行（项）2019年预算数为355.78万元，比上年执行数增加13.08万元，增长3.7%，主要原因是增加新纳编人员，干部调资和非在编人员补助增加。</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2、石油新村街道医疗卫生与计划生育支出（类）计划生育事务（款）其他计划生育支出（项）2019年预算数为:46.86万元，比上年执行数减少0.08万元，减少0.17%，主要原因是：人员调整至社区。</w:t>
      </w:r>
    </w:p>
    <w:p>
      <w:pPr>
        <w:spacing w:line="580" w:lineRule="exact"/>
        <w:ind w:firstLine="640"/>
        <w:rPr>
          <w:rFonts w:ascii="仿宋" w:hAnsi="仿宋" w:eastAsia="仿宋" w:cs="仿宋"/>
          <w:b/>
          <w:bCs/>
          <w:sz w:val="32"/>
          <w:szCs w:val="32"/>
        </w:rPr>
      </w:pPr>
      <w:r>
        <w:rPr>
          <w:rFonts w:hint="eastAsia" w:ascii="仿宋" w:hAnsi="仿宋" w:eastAsia="仿宋" w:cs="仿宋"/>
          <w:sz w:val="32"/>
          <w:szCs w:val="32"/>
        </w:rPr>
        <w:t>3、石油新村街道社会保障和就业支出（类）民政管理事务（款）基层政权和社区建设（项）2019年预算数为1520.58万元，比上年执行数增加110.09万元，增长7.2%，主要原因是：干部调资和非在编人员补助增加。</w:t>
      </w:r>
    </w:p>
    <w:p>
      <w:pPr>
        <w:spacing w:line="580" w:lineRule="exact"/>
        <w:ind w:firstLine="640"/>
        <w:rPr>
          <w:rFonts w:ascii="仿宋" w:hAnsi="仿宋" w:eastAsia="仿宋" w:cs="仿宋"/>
          <w:b/>
          <w:bCs/>
          <w:sz w:val="32"/>
          <w:szCs w:val="32"/>
        </w:rPr>
      </w:pPr>
      <w:r>
        <w:rPr>
          <w:rFonts w:hint="eastAsia" w:ascii="仿宋" w:hAnsi="仿宋" w:eastAsia="仿宋" w:cs="仿宋"/>
          <w:sz w:val="32"/>
          <w:szCs w:val="32"/>
        </w:rPr>
        <w:t>4、石油新村街道公共安全支出（类）其他公共安全支出（款）其他公共安全支出（项）2019年预算数为39.64万元，比上年执行数减少0.5万元，减少1.2%，主要原因是：司法人员调整工资。</w:t>
      </w:r>
    </w:p>
    <w:p>
      <w:pPr>
        <w:spacing w:before="156" w:beforeLines="50"/>
        <w:ind w:left="640" w:hanging="640" w:hangingChars="200"/>
        <w:outlineLvl w:val="1"/>
        <w:rPr>
          <w:rFonts w:ascii="黑体" w:hAnsi="黑体" w:eastAsia="黑体" w:cs="仿宋"/>
          <w:sz w:val="32"/>
          <w:szCs w:val="32"/>
        </w:rPr>
      </w:pPr>
      <w:r>
        <w:rPr>
          <w:rFonts w:hint="eastAsia" w:ascii="黑体" w:hAnsi="黑体" w:eastAsia="黑体" w:cs="仿宋"/>
          <w:sz w:val="32"/>
          <w:szCs w:val="32"/>
        </w:rPr>
        <w:t>六、关于石油新村街道办事处2019年一般公共预算基本支出情况说明</w:t>
      </w:r>
    </w:p>
    <w:p>
      <w:pPr>
        <w:spacing w:line="360" w:lineRule="auto"/>
        <w:ind w:firstLine="641"/>
        <w:rPr>
          <w:rFonts w:ascii="仿宋" w:hAnsi="仿宋" w:eastAsia="仿宋" w:cs="仿宋"/>
          <w:sz w:val="32"/>
          <w:szCs w:val="32"/>
        </w:rPr>
      </w:pPr>
      <w:r>
        <w:rPr>
          <w:rFonts w:hint="eastAsia" w:ascii="仿宋" w:hAnsi="仿宋" w:eastAsia="仿宋" w:cs="仿宋"/>
          <w:sz w:val="32"/>
          <w:szCs w:val="32"/>
        </w:rPr>
        <w:t>石油新村街道办事处2019年一般公共预算基本支出1962.86万元， 其中：</w:t>
      </w:r>
    </w:p>
    <w:p>
      <w:pPr>
        <w:spacing w:line="360" w:lineRule="auto"/>
        <w:ind w:right="25" w:rightChars="12" w:firstLine="641"/>
        <w:rPr>
          <w:rFonts w:ascii="仿宋" w:hAnsi="仿宋" w:eastAsia="仿宋" w:cs="仿宋"/>
          <w:sz w:val="32"/>
          <w:szCs w:val="32"/>
        </w:rPr>
      </w:pPr>
      <w:r>
        <w:rPr>
          <w:rFonts w:hint="eastAsia" w:ascii="仿宋" w:hAnsi="仿宋" w:eastAsia="仿宋" w:cs="仿宋"/>
          <w:sz w:val="32"/>
          <w:szCs w:val="32"/>
        </w:rPr>
        <w:t>人员经费1557.63 万元，主要包括：基本工资342.11万元、津贴补贴193.16万元、奖金225.56万元、绩效工资371.43万元、养老保险156.04万元、医疗保险70.22万元、公务员医疗补助15.61万元、其他社保保险缴费13.74万元、住房公积金169.76万元。</w:t>
      </w:r>
    </w:p>
    <w:p>
      <w:pPr>
        <w:spacing w:line="360" w:lineRule="auto"/>
        <w:ind w:firstLine="641"/>
        <w:rPr>
          <w:rFonts w:ascii="仿宋" w:hAnsi="仿宋" w:eastAsia="仿宋" w:cs="仿宋"/>
          <w:sz w:val="32"/>
          <w:szCs w:val="32"/>
        </w:rPr>
      </w:pPr>
      <w:r>
        <w:rPr>
          <w:rFonts w:hint="eastAsia" w:ascii="仿宋" w:hAnsi="仿宋" w:eastAsia="仿宋" w:cs="仿宋"/>
          <w:sz w:val="32"/>
          <w:szCs w:val="32"/>
        </w:rPr>
        <w:t>公用经费108.77万元，主要包括：办公费9.76万元；水费5.26万元；电费6.95万元；电话费3.18万元；暖气费25.4万元；差旅费7.44万元；维修（护）费0.36万元；培训费11.61万元；专用材料费0.55万元；工会经费10.08万元；福利费23.19万元；公务用车维护费4.54万元；其他商品和服务支出0.45万元。</w:t>
      </w:r>
    </w:p>
    <w:p>
      <w:pPr>
        <w:spacing w:before="156" w:beforeLines="50"/>
        <w:ind w:left="640" w:hanging="640" w:hangingChars="200"/>
        <w:outlineLvl w:val="1"/>
        <w:rPr>
          <w:rFonts w:ascii="黑体" w:hAnsi="黑体" w:eastAsia="黑体" w:cs="仿宋"/>
          <w:sz w:val="32"/>
          <w:szCs w:val="32"/>
        </w:rPr>
      </w:pPr>
      <w:r>
        <w:rPr>
          <w:rFonts w:hint="eastAsia" w:ascii="黑体" w:hAnsi="黑体" w:eastAsia="黑体" w:cs="仿宋"/>
          <w:sz w:val="32"/>
          <w:szCs w:val="32"/>
        </w:rPr>
        <w:t>七、关于石油新村街道办事处2019年一般公共预算项目支出情况说明</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1、项目名称：社区工作经费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预算安排规模：520万元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项目承担单位：石油新村街道办事处所辖13个社区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资金分配情况：我辖区共13个非重点社区，每个社区40万元。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2、项目名称：警务站工作经费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预算安排规模：107.92万元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项目承担单位：石油新村街道办事处所辖16个便民警务站，4个子站</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资金分配情况：每个警务站67450元/年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3、项目名称：警务站服装费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预算安排规模：72.36万元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项目承担单位：石油新村街道办事处所辖16个便民警务站，4个子站</w:t>
      </w:r>
    </w:p>
    <w:p>
      <w:pPr>
        <w:spacing w:line="580" w:lineRule="exact"/>
        <w:ind w:firstLine="640"/>
        <w:rPr>
          <w:rFonts w:ascii="仿宋" w:hAnsi="仿宋" w:eastAsia="仿宋" w:cs="仿宋"/>
          <w:color w:val="FF0000"/>
          <w:sz w:val="32"/>
          <w:szCs w:val="32"/>
          <w:shd w:val="pct10" w:color="auto" w:fill="FFFFFF"/>
        </w:rPr>
      </w:pPr>
      <w:r>
        <w:rPr>
          <w:rFonts w:hint="eastAsia" w:ascii="仿宋" w:hAnsi="仿宋" w:eastAsia="仿宋" w:cs="仿宋"/>
          <w:sz w:val="32"/>
          <w:szCs w:val="32"/>
        </w:rPr>
        <w:t>资金分配情况：大站46668元，小站40852元，3类站35016元，子站8754元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4、项目名称：警务站装备费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预算安排规模：23.8万元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项目承担单位：石油新村街道办事处所辖16个便民警务站，4个子站</w:t>
      </w:r>
    </w:p>
    <w:p>
      <w:pPr>
        <w:spacing w:line="580" w:lineRule="exact"/>
        <w:ind w:firstLine="640"/>
        <w:rPr>
          <w:rFonts w:ascii="仿宋" w:hAnsi="仿宋" w:eastAsia="仿宋" w:cs="仿宋"/>
          <w:color w:val="FF0000"/>
          <w:sz w:val="32"/>
          <w:szCs w:val="32"/>
          <w:shd w:val="pct10" w:color="auto" w:fill="FFFFFF"/>
        </w:rPr>
      </w:pPr>
      <w:r>
        <w:rPr>
          <w:rFonts w:hint="eastAsia" w:ascii="仿宋" w:hAnsi="仿宋" w:eastAsia="仿宋" w:cs="仿宋"/>
          <w:sz w:val="32"/>
          <w:szCs w:val="32"/>
        </w:rPr>
        <w:t>资金分配情况：每个警务站14875元/年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5、项目名称：警务站餐费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预算安排规模：252.59万元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项目承担单位：石油新村街道办事处所辖16个便民警务站，4个子站</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资金分配情况：大站220500元，小站185220元，3类141120元，子站50400元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6、项目名称：街道办事处补充工作经费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预算安排规模：100万元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资金分配情况：用于街道办事处及社区补充工作经费100万元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7、项目名称：公岗人员工作经费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预算安排规模：71.06万元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资金分配情况：用于街道办事处及社区工作经费71.06万元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8、项目名称：伙食补助</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预算安排规模：172.69万元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资金分配情况：4680元/人/年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color w:val="FF0000"/>
          <w:sz w:val="32"/>
          <w:szCs w:val="32"/>
          <w:shd w:val="pct10" w:color="auto" w:fill="FFFFFF"/>
        </w:rPr>
      </w:pPr>
      <w:r>
        <w:rPr>
          <w:rFonts w:hint="eastAsia" w:ascii="仿宋" w:hAnsi="仿宋" w:eastAsia="仿宋" w:cs="仿宋"/>
          <w:sz w:val="32"/>
          <w:szCs w:val="32"/>
        </w:rPr>
        <w:t>补贴人数：369人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补贴标准：15元/天/人，26天/月</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补贴范围：干部122人，市聘150人，区聘97人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补贴方式：食堂伙食补助</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9、项目名称：基层岗位补贴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预算安排规模：59.03万元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资金分配情况：100元/月/人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补贴人数：445人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补贴标准：100元/月/人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补贴范围：干部、社工、巡逻员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10、项目名称：包户考核奖励</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预算安排规模：91.56万元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资金分配情况：300元/月/人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补贴人数：252人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补贴标准：300元/月/人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补贴范围：干部、社工、巡逻员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11、项目名称：楼栋长津贴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预算安排规模：71.1万元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资金分配情况：100元/月/人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补贴人数：650人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补贴标准：100元/月/人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补贴范围：楼栋长</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12、项目名称：社工非在编人员补助费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预算安排规模：290.64万元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资金分配情况：1500元/月/人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补贴人数：200人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补贴标准：1500元/月/人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 社工</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13、项目名称：巡逻员非在编人员补助费</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预算安排规模：157.22万元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资金分配情况：800元/月/人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补贴人数：164人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补贴标准：800元/月/人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 巡逻员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14、项目名称：南疆挂职干部补贴</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预算安排规模：1.08万元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资金分配情况：1800元/月/人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资金执行时间：2018.10-2019.3</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补贴人数：1人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补贴标准：1800/月/人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 努尔巴哈提</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sz w:val="32"/>
          <w:szCs w:val="32"/>
        </w:rPr>
      </w:pPr>
      <w:r>
        <w:rPr>
          <w:rFonts w:hint="eastAsia" w:ascii="仿宋" w:hAnsi="仿宋" w:eastAsia="仿宋" w:cs="仿宋"/>
          <w:b/>
          <w:sz w:val="32"/>
          <w:szCs w:val="32"/>
        </w:rPr>
        <w:t>15、项目名称：巡逻员工资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预算安排规模：152.64万元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资金分配情况：58元/天/人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资金执行时间：2019.1-2019.12</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补贴人数：84人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补贴标准：58元/天/人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补贴范围：巡逻员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补贴方式：财政银行打卡</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rPr>
        <w:t>16、项目名称：巡逻防控人员工资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设立的政策依据：依据2019年预算核定标准</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预算安排规模：1288.87万元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项目承担单位：石油新村街道办事处</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资金分配情况：3500元/月/人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资金执行时间：2019.01-2019.12资金来源：财政拨款</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补贴人数：256人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补贴标准：3500元/月/人</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补贴范围：巡控员</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补贴方式：财政统发</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发放程序：审批发放</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rPr>
        <w:t>八、关于石油新村街道办事处2018年一般公共预算“三公”经费预算情况说明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石油新村街道办事处2018年“三公”经费财政拨款预算数为4.54万元，其中：因公出国（境）费0万元，公务用车购置0万元，公务用车运行费4.54万元，公务接待费0万元。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 年“三公”经费财政拨款预算比上年减少0万元，其中：因公出国（境）费增加 0 万元，主要原因是与上年一致，未安排预算；公务用车购置费为 0，主要原因是与上年一致，未安排预算；公务用车运行费减少0万元，主要原因是与上年一致；公务接待费增加 0 万元，主要原因是与上年一致，未安排预算。</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rPr>
        <w:t>九、关于石油新村街道办事处2019政府性基金预算拨款情况说明</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石油新村街道办事处2019年没有使用政府性基金预算拨款安排的支出，政府性基金预算支出情况表为空表。</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rPr>
        <w:t>十、其他重要事项的情况说明</w:t>
      </w:r>
    </w:p>
    <w:p>
      <w:pPr>
        <w:spacing w:line="580" w:lineRule="exact"/>
        <w:ind w:firstLine="640"/>
        <w:rPr>
          <w:rFonts w:ascii="仿宋" w:hAnsi="仿宋" w:eastAsia="仿宋" w:cs="仿宋"/>
          <w:b/>
          <w:bCs/>
          <w:sz w:val="32"/>
          <w:szCs w:val="32"/>
        </w:rPr>
      </w:pPr>
      <w:r>
        <w:rPr>
          <w:rFonts w:hint="eastAsia" w:ascii="仿宋" w:hAnsi="仿宋" w:eastAsia="仿宋" w:cs="仿宋"/>
          <w:b/>
          <w:bCs/>
          <w:sz w:val="32"/>
          <w:szCs w:val="32"/>
        </w:rPr>
        <w:t xml:space="preserve">（一）机关运行经费情况 </w:t>
      </w:r>
    </w:p>
    <w:p>
      <w:pPr>
        <w:spacing w:line="580" w:lineRule="exact"/>
        <w:ind w:firstLine="640"/>
        <w:rPr>
          <w:rFonts w:ascii="仿宋" w:hAnsi="仿宋" w:eastAsia="仿宋" w:cs="仿宋"/>
          <w:color w:val="000000" w:themeColor="text1"/>
          <w:sz w:val="32"/>
          <w:szCs w:val="32"/>
        </w:rPr>
      </w:pPr>
      <w:r>
        <w:rPr>
          <w:rFonts w:hint="eastAsia" w:ascii="仿宋" w:hAnsi="仿宋" w:eastAsia="仿宋" w:cs="仿宋"/>
          <w:sz w:val="32"/>
          <w:szCs w:val="32"/>
        </w:rPr>
        <w:t xml:space="preserve">2019年，高新区（新市区）石油新村街道办事处2019本级及下属2家行政单位、0家参公管理事业单位和3家事业单位的机关运行经费财政拨款预算108.77万元，比上年预算增增加  4.27万元，增加3.9%。主要原因是社区新增纳编人员。     </w:t>
      </w:r>
    </w:p>
    <w:p>
      <w:pPr>
        <w:spacing w:line="580" w:lineRule="exact"/>
        <w:ind w:firstLine="642"/>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（二）政府采购情况</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2019年，石油新村街道办事处部门及下属单位政府采购预算0万元，其中：政府采购货物预算0万元，政府采购工程预算0万元，政府采购服务预算0万元。</w:t>
      </w:r>
    </w:p>
    <w:p>
      <w:pPr>
        <w:spacing w:line="580" w:lineRule="exact"/>
        <w:ind w:firstLine="640"/>
        <w:rPr>
          <w:rFonts w:ascii="仿宋" w:hAnsi="仿宋" w:eastAsia="仿宋" w:cs="仿宋"/>
          <w:sz w:val="32"/>
          <w:szCs w:val="32"/>
        </w:rPr>
      </w:pPr>
      <w:r>
        <w:rPr>
          <w:rFonts w:hint="eastAsia" w:ascii="仿宋" w:hAnsi="仿宋" w:eastAsia="仿宋" w:cs="仿宋"/>
          <w:sz w:val="32"/>
          <w:szCs w:val="32"/>
        </w:rPr>
        <w:t>2018年度本部门面向中小企业预留政府采购项目预算金额0万元，其中：面向小微企业预留政府采购项目预算金额0万元。</w:t>
      </w:r>
    </w:p>
    <w:p>
      <w:pPr>
        <w:spacing w:line="580" w:lineRule="exact"/>
        <w:ind w:firstLine="642"/>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（三）国有资产占用使用情况</w:t>
      </w:r>
    </w:p>
    <w:p>
      <w:pPr>
        <w:spacing w:line="58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截至2018年底，石油新村街道办事处及下属各预算单位占用使用国有资产总体情况为：</w:t>
      </w:r>
    </w:p>
    <w:p>
      <w:pPr>
        <w:spacing w:line="58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1.房屋5264.34平方米，价值524.60万元。</w:t>
      </w:r>
    </w:p>
    <w:p>
      <w:pPr>
        <w:spacing w:line="58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2.车辆18辆，价值218.83万元；其中：一般公务用车1辆，价值6.4万元；其他车辆17辆，价值212.43万元。</w:t>
      </w:r>
    </w:p>
    <w:p>
      <w:pPr>
        <w:spacing w:line="58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3.办公家具价值776.14万元。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本部门未购置单位价值50万元以上大型设备及单位价值100万元以上大型设备。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2019年部门预算未安排购置车辆经费、未安排购置50万元以上大型设备及单位价值100万元以上大型设备。</w:t>
      </w:r>
    </w:p>
    <w:p>
      <w:pPr>
        <w:spacing w:line="580" w:lineRule="exact"/>
        <w:ind w:firstLine="642"/>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（四）预算绩效情况</w:t>
      </w:r>
    </w:p>
    <w:p>
      <w:pPr>
        <w:spacing w:line="580" w:lineRule="exact"/>
        <w:ind w:firstLine="640"/>
        <w:rPr>
          <w:rFonts w:ascii="楷体_GB2312" w:hAnsi="宋体" w:eastAsia="楷体_GB2312" w:cs="宋体"/>
          <w:b/>
          <w:kern w:val="0"/>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themeColor="text1"/>
          <w:sz w:val="32"/>
          <w:szCs w:val="32"/>
        </w:rPr>
        <w:t>2018年度，本年度实行绩效管理的项目16个，涉及预算金额3432.56万元。具体情况见下表（按项目分别填报）：</w:t>
      </w:r>
    </w:p>
    <w:tbl>
      <w:tblPr>
        <w:tblStyle w:val="7"/>
        <w:tblpPr w:leftFromText="180" w:rightFromText="180" w:vertAnchor="text" w:horzAnchor="page" w:tblpX="1523" w:tblpY="54"/>
        <w:tblOverlap w:val="never"/>
        <w:tblW w:w="14120" w:type="dxa"/>
        <w:tblInd w:w="0" w:type="dxa"/>
        <w:tblLayout w:type="fixed"/>
        <w:tblCellMar>
          <w:top w:w="0" w:type="dxa"/>
          <w:left w:w="108" w:type="dxa"/>
          <w:bottom w:w="0" w:type="dxa"/>
          <w:right w:w="108" w:type="dxa"/>
        </w:tblCellMar>
      </w:tblPr>
      <w:tblGrid>
        <w:gridCol w:w="2219"/>
        <w:gridCol w:w="1876"/>
        <w:gridCol w:w="1681"/>
        <w:gridCol w:w="504"/>
        <w:gridCol w:w="1178"/>
        <w:gridCol w:w="326"/>
        <w:gridCol w:w="326"/>
        <w:gridCol w:w="1945"/>
        <w:gridCol w:w="252"/>
        <w:gridCol w:w="1143"/>
        <w:gridCol w:w="2166"/>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街道工作经费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100万元　</w:t>
            </w:r>
          </w:p>
        </w:tc>
        <w:tc>
          <w:tcPr>
            <w:tcW w:w="13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工作经费到位率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街道人数</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124人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开展活动</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开展文艺演出、才艺展示、体育竞赛</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科室数量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下设5个部门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社区数量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所辖13个社区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接种疫苗</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Theme="majorEastAsia" w:hAnsiTheme="majorEastAsia" w:eastAsiaTheme="majorEastAsia" w:cstheme="majorEastAsia"/>
                <w:bCs/>
                <w:sz w:val="20"/>
                <w:szCs w:val="20"/>
              </w:rPr>
              <w:t>脊髓灰质炎接种4893人次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为学龄前儿童发放牛奶</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0-6月儿童享受免费牛奶5669人</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3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62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r>
      <w:tr>
        <w:tblPrEx>
          <w:tblLayout w:type="fixed"/>
          <w:tblCellMar>
            <w:top w:w="0" w:type="dxa"/>
            <w:left w:w="108" w:type="dxa"/>
            <w:bottom w:w="0" w:type="dxa"/>
            <w:right w:w="108" w:type="dxa"/>
          </w:tblCellMar>
        </w:tblPrEx>
        <w:trPr>
          <w:trHeight w:val="399"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71.06万元　</w:t>
            </w:r>
          </w:p>
        </w:tc>
        <w:tc>
          <w:tcPr>
            <w:tcW w:w="1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71.06万元　</w:t>
            </w:r>
          </w:p>
        </w:tc>
        <w:tc>
          <w:tcPr>
            <w:tcW w:w="13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工作经费到位率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人数</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247人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开展活动</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开展文艺演出、才艺展示、体育竞赛</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科室数量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下设5个部门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社区数量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所辖13个社区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接种疫苗</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Theme="majorEastAsia" w:hAnsiTheme="majorEastAsia" w:eastAsiaTheme="majorEastAsia" w:cstheme="majorEastAsia"/>
                <w:bCs/>
                <w:sz w:val="20"/>
                <w:szCs w:val="20"/>
              </w:rPr>
              <w:t>脊髓灰质炎接种4893人次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为学龄前儿童发放牛奶</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0-6月儿童享受免费牛奶5669人</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3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9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r>
      <w:tr>
        <w:tblPrEx>
          <w:tblLayout w:type="fixed"/>
          <w:tblCellMar>
            <w:top w:w="0" w:type="dxa"/>
            <w:left w:w="108" w:type="dxa"/>
            <w:bottom w:w="0" w:type="dxa"/>
            <w:right w:w="108" w:type="dxa"/>
          </w:tblCellMar>
        </w:tblPrEx>
        <w:trPr>
          <w:trHeight w:val="399"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9"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5"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520万元　</w:t>
            </w:r>
          </w:p>
        </w:tc>
        <w:tc>
          <w:tcPr>
            <w:tcW w:w="183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520万元　</w:t>
            </w:r>
          </w:p>
        </w:tc>
        <w:tc>
          <w:tcPr>
            <w:tcW w:w="13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7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用于辖区8个社区工作的顺利进行</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用于辖区8个社区工作的顺利进行</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公租房</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发放公租房补贴4.22万元</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开展活动</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开展文艺演出、才艺展示、体育竞赛</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社区数量</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所辖13个社区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辖区面积</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接种疫苗</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Theme="majorEastAsia" w:hAnsiTheme="majorEastAsia" w:eastAsiaTheme="majorEastAsia" w:cstheme="majorEastAsia"/>
                <w:bCs/>
                <w:sz w:val="20"/>
                <w:szCs w:val="20"/>
              </w:rPr>
              <w:t>脊髓灰质炎接种4893人次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为学龄前儿童发放牛奶</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0-6月儿童享受免费牛奶5669人</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43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ascii="宋体" w:hAnsi="宋体" w:cs="宋体"/>
                <w:kern w:val="0"/>
                <w:sz w:val="20"/>
                <w:szCs w:val="20"/>
              </w:rPr>
              <w:t>提升</w:t>
            </w:r>
            <w:r>
              <w:rPr>
                <w:rFonts w:hint="eastAsia" w:ascii="宋体" w:hAnsi="宋体" w:cs="宋体"/>
                <w:kern w:val="0"/>
                <w:sz w:val="20"/>
                <w:szCs w:val="20"/>
              </w:rPr>
              <w:t>政府</w:t>
            </w:r>
            <w:r>
              <w:rPr>
                <w:rFonts w:ascii="宋体" w:hAnsi="宋体" w:cs="宋体"/>
                <w:kern w:val="0"/>
                <w:sz w:val="20"/>
                <w:szCs w:val="20"/>
              </w:rPr>
              <w:t>形象，促进社会建设和文化、教育、卫生公益事业发</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充分发挥基层阵地作用充分履行和承担举旗帜、聚民心、惠民生的使命任务</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困难人员满意度达到90%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2"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p>
        </w:tc>
        <w:tc>
          <w:tcPr>
            <w:tcW w:w="381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辖区单位满意度达到95%</w:t>
            </w:r>
            <w:r>
              <w:rPr>
                <w:rFonts w:hint="eastAsia" w:ascii="宋体" w:hAnsi="宋体" w:cs="宋体"/>
                <w:kern w:val="0"/>
                <w:sz w:val="18"/>
                <w:szCs w:val="18"/>
              </w:rPr>
              <w:t>　</w:t>
            </w:r>
          </w:p>
        </w:tc>
      </w:tr>
    </w:tbl>
    <w:tbl>
      <w:tblPr>
        <w:tblStyle w:val="7"/>
        <w:tblpPr w:leftFromText="180" w:rightFromText="180" w:vertAnchor="text" w:horzAnchor="page" w:tblpX="1448" w:tblpY="302"/>
        <w:tblOverlap w:val="never"/>
        <w:tblW w:w="14120" w:type="dxa"/>
        <w:tblInd w:w="0" w:type="dxa"/>
        <w:tblLayout w:type="fixed"/>
        <w:tblCellMar>
          <w:top w:w="0" w:type="dxa"/>
          <w:left w:w="108" w:type="dxa"/>
          <w:bottom w:w="0" w:type="dxa"/>
          <w:right w:w="108" w:type="dxa"/>
        </w:tblCellMar>
      </w:tblPr>
      <w:tblGrid>
        <w:gridCol w:w="2219"/>
        <w:gridCol w:w="1756"/>
        <w:gridCol w:w="1801"/>
        <w:gridCol w:w="506"/>
        <w:gridCol w:w="1177"/>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279"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252.59万元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252.59万元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大站220500/年，小站185220/年</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大站220500/年，小站185220/年</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0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满意度达到95%</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巡控员</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满意度达到95%</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72.36万元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72.36万元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大站46668/年，小站40852/年</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集中采购</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大站46668/年，小站40852/年</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62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民警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满意度达到95%</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巡控员</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满意度达到95%</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107.92万元</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107.92万元</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67450元/年/站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季度申请额度</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67450元/年/站</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62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9"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辖区长住处户满意度达到95%</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辖区长住处户满意度达到95%</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辖区流动户满意度达到98%</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辖区流动户满意度达到98%</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23.8万元</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23.8万元</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14875元/年/站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集中采购</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14875元/年/站</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17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辖区长住处户满意度达到95%</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辖区长住处户满意度达到95%</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辖区流动户满意度达到98%</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辖区流动户满意度达到98%</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172.69万元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172.69万元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4680元/人/年/</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在册干部数量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122人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社工数量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区聘96人，市聘91人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4680元/人/年/</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0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2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落实党的十九大精神和中央治疆方略，聚焦新疆长治久安的总目标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有效加强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干部满意率达到99%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干部满意率达到99%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社工满意率达到99%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社工满意率达到99%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巡逻防控队员工资</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1288.87万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1288.87万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3500元/人/月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256人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3500元/人/月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7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警务站与派出所联动辖区</w:t>
            </w:r>
            <w:r>
              <w:rPr>
                <w:rFonts w:hint="eastAsia" w:ascii="宋体" w:hAnsi="宋体" w:cs="宋体"/>
                <w:kern w:val="0"/>
                <w:sz w:val="20"/>
                <w:szCs w:val="20"/>
                <w:highlight w:val="none"/>
                <w:lang w:val="en-US" w:eastAsia="zh-CN"/>
              </w:rPr>
              <w:t>和谐</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cs="宋体"/>
                <w:kern w:val="0"/>
                <w:sz w:val="20"/>
                <w:szCs w:val="20"/>
                <w:highlight w:val="none"/>
              </w:rPr>
              <w:t>警务站与街道、社区联动辖区</w:t>
            </w:r>
            <w:r>
              <w:rPr>
                <w:rFonts w:hint="eastAsia" w:ascii="宋体" w:hAnsi="宋体" w:cs="宋体"/>
                <w:kern w:val="0"/>
                <w:sz w:val="20"/>
                <w:szCs w:val="20"/>
                <w:highlight w:val="none"/>
                <w:lang w:val="en-US" w:eastAsia="zh-CN"/>
              </w:rPr>
              <w:t>和谐</w:t>
            </w:r>
            <w:bookmarkStart w:id="0" w:name="_GoBack"/>
            <w:bookmarkEnd w:id="0"/>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巡控员满意度达到99%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巡控员满意度达到99%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91.56万元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91.56万元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社区包户在册干部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80人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社区包户社工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176人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7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在册干部满意度达到99%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在册干部满意度达到99%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社工满意度达到99%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社工满意度达到99%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基层岗贴</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59.03万元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59.03万元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在册干部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124人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社工及巡逻员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341人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8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在册干部满意度达到99%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在册干部满意度达到99%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社工满意度达到99%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社工满意度达到99%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71.1万元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71.1万元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按季度申请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所辖社区</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13个</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楼栋长</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580人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了解包户人员动态</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楼栋长满意度达到</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在册干部满意度达到95%</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非在编人员补助费（巡逻员）</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157.22万元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157.22万元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16个警务站，4个子站</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164人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5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巡控员满意度达到99%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巡控员满意度达到99%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非在编人员补助费（公岗）</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290.64万元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290.64万元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1500元/人/月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社区数量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13个</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197人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1500元/人/月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2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社工满意度达到99%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社工满意度达到99%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专管员满意度达到99%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专管员满意度达到99%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152.64万元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152.64万元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58元/人/天</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按月申请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警务站数量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16个</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84人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58元/人/天</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2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巡逻员满意度达到99%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20"/>
                <w:szCs w:val="20"/>
              </w:rPr>
              <w:t>巡逻员满意度达到99%</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协警满意度达到99%</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仿宋_GB2312" w:hAnsi="宋体" w:eastAsia="仿宋_GB2312"/>
                <w:b/>
                <w:kern w:val="0"/>
                <w:sz w:val="32"/>
                <w:szCs w:val="32"/>
              </w:rPr>
            </w:pPr>
          </w:p>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75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01"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石油新村街道办事处</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南疆挂职干部补贴</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307" w:type="dxa"/>
            <w:gridSpan w:val="2"/>
            <w:tcBorders>
              <w:top w:val="nil"/>
              <w:left w:val="nil"/>
              <w:bottom w:val="single" w:color="auto" w:sz="4" w:space="0"/>
              <w:right w:val="single" w:color="auto" w:sz="4" w:space="0"/>
            </w:tcBorders>
            <w:shd w:val="clear" w:color="auto" w:fill="auto"/>
            <w:vAlign w:val="center"/>
          </w:tcPr>
          <w:p>
            <w:pPr>
              <w:widowControl/>
              <w:ind w:firstLine="720" w:firstLineChars="400"/>
              <w:rPr>
                <w:rFonts w:ascii="宋体" w:hAnsi="宋体" w:cs="宋体"/>
                <w:kern w:val="0"/>
                <w:sz w:val="18"/>
                <w:szCs w:val="18"/>
              </w:rPr>
            </w:pPr>
            <w:r>
              <w:rPr>
                <w:rFonts w:hint="eastAsia" w:ascii="宋体" w:hAnsi="宋体" w:cs="宋体"/>
                <w:kern w:val="0"/>
                <w:sz w:val="18"/>
                <w:szCs w:val="18"/>
              </w:rPr>
              <w:t>1.08万元　</w:t>
            </w:r>
          </w:p>
        </w:tc>
        <w:tc>
          <w:tcPr>
            <w:tcW w:w="18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1.08万元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1"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5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1800元/人/月</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半年申请</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1人</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经费分配</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1800元/人/月</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3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372"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充分发挥基层阵地作用</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5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挂职干部满意度达到100%</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挂职干部满意度达到100%</w:t>
            </w:r>
          </w:p>
        </w:tc>
      </w:tr>
      <w:tr>
        <w:tblPrEx>
          <w:tblLayout w:type="fixed"/>
          <w:tblCellMar>
            <w:top w:w="0" w:type="dxa"/>
            <w:left w:w="108" w:type="dxa"/>
            <w:bottom w:w="0" w:type="dxa"/>
            <w:right w:w="108" w:type="dxa"/>
          </w:tblCellMar>
        </w:tblPrEx>
        <w:trPr>
          <w:trHeight w:val="220" w:hRule="atLeast"/>
        </w:trPr>
        <w:tc>
          <w:tcPr>
            <w:tcW w:w="2219"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75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333"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p>
        </w:tc>
      </w:tr>
    </w:tbl>
    <w:p>
      <w:pPr>
        <w:tabs>
          <w:tab w:val="center" w:pos="6894"/>
        </w:tabs>
        <w:jc w:val="left"/>
        <w:sectPr>
          <w:footerReference r:id="rId5" w:type="default"/>
          <w:pgSz w:w="16838" w:h="11906" w:orient="landscape"/>
          <w:pgMar w:top="1179" w:right="1610" w:bottom="1633" w:left="1440" w:header="851" w:footer="992" w:gutter="0"/>
          <w:cols w:space="425" w:num="1"/>
          <w:docGrid w:type="lines" w:linePitch="312" w:charSpace="0"/>
        </w:sectPr>
      </w:pPr>
    </w:p>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石油新村街道办事处</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Default">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37</w:t>
    </w:r>
    <w:r>
      <w:rPr>
        <w:rFonts w:ascii="宋体" w:hAnsi="宋体" w:eastAsia="宋体"/>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6A3C7"/>
    <w:multiLevelType w:val="singleLevel"/>
    <w:tmpl w:val="8B56A3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7F4"/>
    <w:rsid w:val="00023E36"/>
    <w:rsid w:val="00031AE8"/>
    <w:rsid w:val="000413A4"/>
    <w:rsid w:val="00075FC8"/>
    <w:rsid w:val="000A7604"/>
    <w:rsid w:val="00127AA4"/>
    <w:rsid w:val="001533CF"/>
    <w:rsid w:val="00166905"/>
    <w:rsid w:val="00171B8C"/>
    <w:rsid w:val="00190828"/>
    <w:rsid w:val="00222578"/>
    <w:rsid w:val="00263B77"/>
    <w:rsid w:val="00285014"/>
    <w:rsid w:val="002A0B86"/>
    <w:rsid w:val="002B5144"/>
    <w:rsid w:val="003049EB"/>
    <w:rsid w:val="0030566A"/>
    <w:rsid w:val="00324095"/>
    <w:rsid w:val="00325B17"/>
    <w:rsid w:val="0033438D"/>
    <w:rsid w:val="00407BC8"/>
    <w:rsid w:val="00437967"/>
    <w:rsid w:val="00457971"/>
    <w:rsid w:val="00457B5E"/>
    <w:rsid w:val="00470CDE"/>
    <w:rsid w:val="0048549F"/>
    <w:rsid w:val="0049168B"/>
    <w:rsid w:val="004B0257"/>
    <w:rsid w:val="004B1EFC"/>
    <w:rsid w:val="004E448D"/>
    <w:rsid w:val="005413BE"/>
    <w:rsid w:val="005C4D7A"/>
    <w:rsid w:val="005C69FC"/>
    <w:rsid w:val="0060117E"/>
    <w:rsid w:val="0066768B"/>
    <w:rsid w:val="0068137B"/>
    <w:rsid w:val="006A66E1"/>
    <w:rsid w:val="006F2164"/>
    <w:rsid w:val="007263EA"/>
    <w:rsid w:val="007271EB"/>
    <w:rsid w:val="007327E6"/>
    <w:rsid w:val="00742828"/>
    <w:rsid w:val="00773FF0"/>
    <w:rsid w:val="007C4038"/>
    <w:rsid w:val="007E2BB1"/>
    <w:rsid w:val="007E372B"/>
    <w:rsid w:val="00890AD9"/>
    <w:rsid w:val="008D09AA"/>
    <w:rsid w:val="008E3413"/>
    <w:rsid w:val="008F3F12"/>
    <w:rsid w:val="0094473E"/>
    <w:rsid w:val="00963F9B"/>
    <w:rsid w:val="00982066"/>
    <w:rsid w:val="009C2300"/>
    <w:rsid w:val="009F333B"/>
    <w:rsid w:val="00A03FE2"/>
    <w:rsid w:val="00A42918"/>
    <w:rsid w:val="00AA27D2"/>
    <w:rsid w:val="00B77FE9"/>
    <w:rsid w:val="00B87B30"/>
    <w:rsid w:val="00B916F7"/>
    <w:rsid w:val="00C00AE8"/>
    <w:rsid w:val="00C116A5"/>
    <w:rsid w:val="00C52EAA"/>
    <w:rsid w:val="00C578E0"/>
    <w:rsid w:val="00C6268F"/>
    <w:rsid w:val="00C64080"/>
    <w:rsid w:val="00C74599"/>
    <w:rsid w:val="00C74D4D"/>
    <w:rsid w:val="00CB39DD"/>
    <w:rsid w:val="00CB689C"/>
    <w:rsid w:val="00CB6A9B"/>
    <w:rsid w:val="00CC63FD"/>
    <w:rsid w:val="00CD611B"/>
    <w:rsid w:val="00CD69B2"/>
    <w:rsid w:val="00D35EE6"/>
    <w:rsid w:val="00D7578A"/>
    <w:rsid w:val="00D75BD6"/>
    <w:rsid w:val="00D822E3"/>
    <w:rsid w:val="00DB053E"/>
    <w:rsid w:val="00DB0B4B"/>
    <w:rsid w:val="00E156D4"/>
    <w:rsid w:val="00E2607C"/>
    <w:rsid w:val="00E60A05"/>
    <w:rsid w:val="00E75FA5"/>
    <w:rsid w:val="00E823AD"/>
    <w:rsid w:val="00EE50AF"/>
    <w:rsid w:val="00EE5B28"/>
    <w:rsid w:val="00EE695F"/>
    <w:rsid w:val="00EE6FAA"/>
    <w:rsid w:val="00EF624E"/>
    <w:rsid w:val="00F4497C"/>
    <w:rsid w:val="00FC6ABD"/>
    <w:rsid w:val="00FF0B30"/>
    <w:rsid w:val="01427089"/>
    <w:rsid w:val="056526B3"/>
    <w:rsid w:val="0723457E"/>
    <w:rsid w:val="07803534"/>
    <w:rsid w:val="0C386DDE"/>
    <w:rsid w:val="11327459"/>
    <w:rsid w:val="1DB51049"/>
    <w:rsid w:val="20640BBE"/>
    <w:rsid w:val="219D4517"/>
    <w:rsid w:val="229F0F16"/>
    <w:rsid w:val="274E2308"/>
    <w:rsid w:val="2EE83DB1"/>
    <w:rsid w:val="2FB049F4"/>
    <w:rsid w:val="39406FD9"/>
    <w:rsid w:val="3A6E0DBA"/>
    <w:rsid w:val="3CC65299"/>
    <w:rsid w:val="41003BC3"/>
    <w:rsid w:val="424D0EAA"/>
    <w:rsid w:val="425517E2"/>
    <w:rsid w:val="44170D0D"/>
    <w:rsid w:val="44C96881"/>
    <w:rsid w:val="45EC3D39"/>
    <w:rsid w:val="477C4F69"/>
    <w:rsid w:val="486553A5"/>
    <w:rsid w:val="4E057748"/>
    <w:rsid w:val="539C52D2"/>
    <w:rsid w:val="57D56189"/>
    <w:rsid w:val="589F6F09"/>
    <w:rsid w:val="5A464AF3"/>
    <w:rsid w:val="5C1F026F"/>
    <w:rsid w:val="6144291D"/>
    <w:rsid w:val="624665B8"/>
    <w:rsid w:val="62A91C51"/>
    <w:rsid w:val="6AC314CD"/>
    <w:rsid w:val="6FCF0C00"/>
    <w:rsid w:val="7104283A"/>
    <w:rsid w:val="716E539C"/>
    <w:rsid w:val="742C22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5"/>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批注框文本 Char"/>
    <w:basedOn w:val="9"/>
    <w:link w:val="2"/>
    <w:semiHidden/>
    <w:qFormat/>
    <w:uiPriority w:val="0"/>
    <w:rPr>
      <w:rFonts w:ascii="Times New Roman" w:hAnsi="Times New Roman" w:eastAsia="宋体" w:cs="Times New Roman"/>
      <w:sz w:val="18"/>
      <w:szCs w:val="18"/>
    </w:rPr>
  </w:style>
  <w:style w:type="character" w:customStyle="1" w:styleId="13">
    <w:name w:val="页脚 Char"/>
    <w:basedOn w:val="9"/>
    <w:link w:val="3"/>
    <w:qFormat/>
    <w:uiPriority w:val="99"/>
    <w:rPr>
      <w:rFonts w:ascii="Times New Roman" w:hAnsi="Times New Roman" w:eastAsia="黑体" w:cs="Times New Roman"/>
      <w:snapToGrid w:val="0"/>
      <w:kern w:val="0"/>
      <w:sz w:val="18"/>
      <w:szCs w:val="18"/>
    </w:rPr>
  </w:style>
  <w:style w:type="character" w:customStyle="1" w:styleId="14">
    <w:name w:val="页眉 Char"/>
    <w:basedOn w:val="9"/>
    <w:link w:val="4"/>
    <w:qFormat/>
    <w:uiPriority w:val="0"/>
    <w:rPr>
      <w:rFonts w:ascii="Times New Roman" w:hAnsi="Times New Roman" w:eastAsia="宋体" w:cs="Times New Roman"/>
      <w:sz w:val="18"/>
      <w:szCs w:val="18"/>
    </w:rPr>
  </w:style>
  <w:style w:type="character" w:customStyle="1" w:styleId="15">
    <w:name w:val="正文文本缩进 3 Char"/>
    <w:basedOn w:val="9"/>
    <w:link w:val="5"/>
    <w:qFormat/>
    <w:uiPriority w:val="0"/>
    <w:rPr>
      <w:rFonts w:ascii="Times New Roman" w:hAnsi="Times New Roman" w:eastAsia="仿宋_GB2312" w:cs="Times New Roman"/>
      <w:sz w:val="32"/>
      <w:szCs w:val="24"/>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64608-ED3E-407E-B31B-4D1C82B0A13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4203</Words>
  <Characters>23960</Characters>
  <Lines>199</Lines>
  <Paragraphs>56</Paragraphs>
  <TotalTime>41</TotalTime>
  <ScaleCrop>false</ScaleCrop>
  <LinksUpToDate>false</LinksUpToDate>
  <CharactersWithSpaces>28107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2019-03-02T09:57:00Z</dcterms:created>
  <dc:creator>王怡</dc:creator>
  <cp:lastModifiedBy>Dell</cp:lastModifiedBy>
  <dcterms:modified xsi:type="dcterms:W3CDTF">2019-08-16T13:52:22Z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