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高新区（新市区）南纬路片区管理委员会</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南纬路片区管理委员会单位概况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一、关于南纬路片区管理委员会2019年收支预算情况的总体说明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二、关于南纬路片区管理委员会2019年收入预算情况说明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三、关于南纬路片区管理委员会2019年支出预算情况说明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南纬路片区管理委员会2019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五、关于南纬路片区管理委员会2019年一般公共预算当年拨款情况说明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六、关于南纬路片区管理委员会2019年一般公共预算基本支出情况说明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七、关于南纬路片区管理委员会2019年项目支出情况说明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八、关于南纬路片区管理委员会2019年一般公共预算“三公”经费预算情况说明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九、关于南纬路片区管理委员会2019年政府性基金预算拨款情况说明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南纬路片区管理委员会单位概况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widowControl/>
        <w:spacing w:line="560" w:lineRule="exact"/>
        <w:ind w:left="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1.贯彻执行党和国家的路线方针、政策以及市、区关于片</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区管委会工作方面的指示，制订具体的管理办法并组织实施。</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2.指导、搞好辖区内社区的工作，支持、帮助社区加强思想、</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组织、制度建设，向上级人民政府和有关部门及时反映居民的意</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见、建议和要求。</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3.抓好社区文化建设，开展文明街道、文明单位，文明小区</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建设活动，组织居民开展经常性的文化、娱乐、体育活动。</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4.负责片区管委会的人民调解、治安保卫工作，加强对违法</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青少年的</w:t>
      </w:r>
      <w:r>
        <w:rPr>
          <w:rFonts w:hint="eastAsia" w:ascii="仿宋_GB2312" w:hAnsi="黑体" w:eastAsia="仿宋_GB2312" w:cs="宋体"/>
          <w:bCs/>
          <w:kern w:val="0"/>
          <w:sz w:val="32"/>
          <w:szCs w:val="32"/>
          <w:lang w:val="en-US" w:eastAsia="zh-CN"/>
        </w:rPr>
        <w:t>帮助</w:t>
      </w:r>
      <w:bookmarkStart w:id="0" w:name="_GoBack"/>
      <w:bookmarkEnd w:id="0"/>
      <w:r>
        <w:rPr>
          <w:rFonts w:hint="eastAsia" w:ascii="仿宋_GB2312" w:hAnsi="黑体" w:eastAsia="仿宋_GB2312" w:cs="宋体"/>
          <w:bCs/>
          <w:kern w:val="0"/>
          <w:sz w:val="32"/>
          <w:szCs w:val="32"/>
        </w:rPr>
        <w:t>，保护老人、妇女、儿童的合法权益。</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5.协助有关部门做好辖区拥军优属、优抚安置、社会救济、</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殡葬改革、残疾人就业等工作；积极开展便民利民的社区服务和社区教育工作。</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6.会同有关部门做好辖区内常住和流动人口的管理及计划生育工作，完成区下达的各项计划生育指标任务。</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7.协助武装部门做好辖区民兵训练和公民服兵役工作。</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8.负责在辖区开展普法教育工作，做好民事调解，开展法律</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咨询、服务等工作，维护居民的合法权益，搞好辖区内社会治安</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综合治理工作。</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9.负责辖区的城市管理工作，发动群众开展爱国卫生运动，</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绿化、美化、净化城市环境，协助有关部门做好环境卫生、环境</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保护工作。</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10.负责辖区的综合执法工作，维护辖区的良好秩序。</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11.负责研究辖区经济发展的规划，协助有关部门抓好安全</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生产工作。</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12.配合有关部门做好辖区内的三防、抢险救灾、安全生产</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检查、居民迁移等工作。</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13.承办区委、区政府交办的其他工作。</w:t>
      </w:r>
    </w:p>
    <w:p>
      <w:pPr>
        <w:widowControl/>
        <w:spacing w:line="56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高新区（新市区）南纬路片区管委会无下属预算单位，下设 8个处室，分别是：党政办公室、协调指导科、行政社会事务执法管理服务中心、综治信访中心、城区管理服务中心、流动人口和出租房屋管理中心、市场管理服务中心；下辖 11个社区，分别是：南一路社区、南二路社区、南三路社区、青海路社区、河南西路社区、锦江社区、北一路社区、北二路社区、太原路社区、北纬一路社区、北纬三路社区。</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高新区（新市区）南纬路片区管委会编制数 101，实有人数</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124人，其中：在职 124人，增加 8 人;退休 3 人，增加 0 人；</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离休 0 人，增加 0 人。</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7065" w:type="dxa"/>
        <w:tblInd w:w="0" w:type="dxa"/>
        <w:tblLayout w:type="fixed"/>
        <w:tblCellMar>
          <w:top w:w="0" w:type="dxa"/>
          <w:left w:w="0" w:type="dxa"/>
          <w:bottom w:w="0" w:type="dxa"/>
          <w:right w:w="0" w:type="dxa"/>
        </w:tblCellMar>
      </w:tblPr>
      <w:tblGrid>
        <w:gridCol w:w="2355"/>
        <w:gridCol w:w="960"/>
        <w:gridCol w:w="2670"/>
        <w:gridCol w:w="1080"/>
      </w:tblGrid>
      <w:tr>
        <w:tblPrEx>
          <w:tblLayout w:type="fixed"/>
          <w:tblCellMar>
            <w:top w:w="0" w:type="dxa"/>
            <w:left w:w="0" w:type="dxa"/>
            <w:bottom w:w="0" w:type="dxa"/>
            <w:right w:w="0" w:type="dxa"/>
          </w:tblCellMar>
        </w:tblPrEx>
        <w:trPr>
          <w:trHeight w:val="345" w:hRule="atLeast"/>
        </w:trPr>
        <w:tc>
          <w:tcPr>
            <w:tcW w:w="235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 xml:space="preserve">  表一：</w:t>
            </w:r>
          </w:p>
        </w:tc>
        <w:tc>
          <w:tcPr>
            <w:tcW w:w="960" w:type="dxa"/>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2670" w:type="dxa"/>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1080" w:type="dxa"/>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45" w:hRule="atLeast"/>
        </w:trPr>
        <w:tc>
          <w:tcPr>
            <w:tcW w:w="7065" w:type="dxa"/>
            <w:gridSpan w:val="4"/>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部门收支总体情况表</w:t>
            </w:r>
          </w:p>
        </w:tc>
      </w:tr>
      <w:tr>
        <w:tblPrEx>
          <w:tblLayout w:type="fixed"/>
          <w:tblCellMar>
            <w:top w:w="0" w:type="dxa"/>
            <w:left w:w="0" w:type="dxa"/>
            <w:bottom w:w="0" w:type="dxa"/>
            <w:right w:w="0" w:type="dxa"/>
          </w:tblCellMar>
        </w:tblPrEx>
        <w:trPr>
          <w:trHeight w:val="345" w:hRule="atLeast"/>
        </w:trPr>
        <w:tc>
          <w:tcPr>
            <w:tcW w:w="7065" w:type="dxa"/>
            <w:gridSpan w:val="4"/>
            <w:vMerge w:val="continue"/>
            <w:tcBorders>
              <w:top w:val="nil"/>
              <w:left w:val="nil"/>
              <w:bottom w:val="nil"/>
              <w:right w:val="nil"/>
            </w:tcBorders>
            <w:shd w:val="clear" w:color="auto" w:fill="auto"/>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trHeight w:val="600" w:hRule="atLeast"/>
        </w:trPr>
        <w:tc>
          <w:tcPr>
            <w:tcW w:w="5985" w:type="dxa"/>
            <w:gridSpan w:val="3"/>
            <w:tcBorders>
              <w:top w:val="nil"/>
              <w:left w:val="nil"/>
              <w:bottom w:val="nil"/>
              <w:right w:val="nil"/>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编制部门:南纬路片区管委会</w:t>
            </w:r>
          </w:p>
        </w:tc>
        <w:tc>
          <w:tcPr>
            <w:tcW w:w="1080" w:type="dxa"/>
            <w:tcBorders>
              <w:top w:val="nil"/>
              <w:left w:val="nil"/>
              <w:bottom w:val="nil"/>
              <w:right w:val="nil"/>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trHeight w:val="345" w:hRule="atLeast"/>
        </w:trPr>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收     入</w:t>
            </w:r>
          </w:p>
        </w:tc>
        <w:tc>
          <w:tcPr>
            <w:tcW w:w="37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支     出</w:t>
            </w:r>
          </w:p>
        </w:tc>
      </w:tr>
      <w:tr>
        <w:tblPrEx>
          <w:tblLayout w:type="fixed"/>
          <w:tblCellMar>
            <w:top w:w="0" w:type="dxa"/>
            <w:left w:w="0" w:type="dxa"/>
            <w:bottom w:w="0" w:type="dxa"/>
            <w:right w:w="0" w:type="dxa"/>
          </w:tblCellMar>
        </w:tblPrEx>
        <w:trPr>
          <w:trHeight w:val="345" w:hRule="atLeast"/>
        </w:trPr>
        <w:tc>
          <w:tcPr>
            <w:tcW w:w="23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c>
          <w:tcPr>
            <w:tcW w:w="267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1,609.47</w:t>
            </w: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教育收费（财政专户）</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2,887.18</w:t>
            </w: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事业收入</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事业单位经营收入</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其他收入</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用事业基金弥补收支差额</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1,000.38</w:t>
            </w: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单位上年结余（不包括国库集中支付额度结余）</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23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10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tbl>
      <w:tblPr>
        <w:tblStyle w:val="7"/>
        <w:tblW w:w="8685" w:type="dxa"/>
        <w:tblInd w:w="0" w:type="dxa"/>
        <w:tblLayout w:type="fixed"/>
        <w:tblCellMar>
          <w:top w:w="0" w:type="dxa"/>
          <w:left w:w="0" w:type="dxa"/>
          <w:bottom w:w="0" w:type="dxa"/>
          <w:right w:w="0" w:type="dxa"/>
        </w:tblCellMar>
      </w:tblPr>
      <w:tblGrid>
        <w:gridCol w:w="494"/>
        <w:gridCol w:w="494"/>
        <w:gridCol w:w="494"/>
        <w:gridCol w:w="1982"/>
        <w:gridCol w:w="944"/>
        <w:gridCol w:w="812"/>
        <w:gridCol w:w="495"/>
        <w:gridCol w:w="495"/>
        <w:gridCol w:w="495"/>
        <w:gridCol w:w="495"/>
        <w:gridCol w:w="495"/>
        <w:gridCol w:w="495"/>
        <w:gridCol w:w="495"/>
      </w:tblGrid>
      <w:tr>
        <w:tblPrEx>
          <w:tblLayout w:type="fixed"/>
          <w:tblCellMar>
            <w:top w:w="0" w:type="dxa"/>
            <w:left w:w="0" w:type="dxa"/>
            <w:bottom w:w="0" w:type="dxa"/>
            <w:right w:w="0" w:type="dxa"/>
          </w:tblCellMar>
        </w:tblPrEx>
        <w:trPr>
          <w:trHeight w:val="645" w:hRule="atLeast"/>
        </w:trPr>
        <w:tc>
          <w:tcPr>
            <w:tcW w:w="7200" w:type="dxa"/>
            <w:gridSpan w:val="10"/>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eastAsia" w:ascii="Default" w:hAnsi="Default" w:cs="Default" w:eastAsiaTheme="minorEastAsia"/>
                <w:b/>
                <w:color w:val="000000"/>
                <w:kern w:val="0"/>
                <w:sz w:val="30"/>
                <w:szCs w:val="30"/>
              </w:rPr>
            </w:pPr>
          </w:p>
          <w:p>
            <w:pPr>
              <w:widowControl/>
              <w:textAlignment w:val="center"/>
              <w:rPr>
                <w:rFonts w:hint="eastAsia" w:ascii="Default" w:hAnsi="Default" w:cs="Default" w:eastAsiaTheme="minorEastAsia"/>
                <w:b/>
                <w:color w:val="000000"/>
                <w:kern w:val="0"/>
                <w:sz w:val="30"/>
                <w:szCs w:val="30"/>
              </w:rPr>
            </w:pPr>
            <w:r>
              <w:rPr>
                <w:rFonts w:hint="eastAsia" w:ascii="Default" w:hAnsi="Default" w:cs="Default" w:eastAsiaTheme="minorEastAsia"/>
                <w:b/>
                <w:color w:val="000000"/>
                <w:kern w:val="0"/>
                <w:sz w:val="30"/>
                <w:szCs w:val="30"/>
              </w:rPr>
              <w:t>表二：</w:t>
            </w:r>
          </w:p>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部门收入总体情况表</w:t>
            </w: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45" w:hRule="atLeast"/>
        </w:trPr>
        <w:tc>
          <w:tcPr>
            <w:tcW w:w="7200" w:type="dxa"/>
            <w:gridSpan w:val="10"/>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填报部门:南纬路片区管委会</w:t>
            </w: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90"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345" w:hRule="atLeast"/>
        </w:trPr>
        <w:tc>
          <w:tcPr>
            <w:tcW w:w="14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982"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预算单位</w:t>
            </w:r>
          </w:p>
        </w:tc>
        <w:tc>
          <w:tcPr>
            <w:tcW w:w="944"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一般公共预算拨款</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政府性基金预算</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教育收费(财政专户)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事业收入</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事业单位经营收入</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其他收入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用事业基金弥补收支差额</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财政拨款结转结余(小计)</w:t>
            </w:r>
          </w:p>
        </w:tc>
      </w:tr>
      <w:tr>
        <w:tblPrEx>
          <w:tblLayout w:type="fixed"/>
          <w:tblCellMar>
            <w:top w:w="0" w:type="dxa"/>
            <w:left w:w="0" w:type="dxa"/>
            <w:bottom w:w="0" w:type="dxa"/>
            <w:right w:w="0" w:type="dxa"/>
          </w:tblCellMar>
        </w:tblPrEx>
        <w:trPr>
          <w:trHeight w:val="1755"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982"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94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南纬路（其它公共安全支出）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2,593.98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2,593.98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2,590.72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2,590.72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2,561.63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2,561.63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2,561.63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2,561.63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司法</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29.09</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29.09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06</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29.09</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29.09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南纬路（基层政权和社区建设）</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2,326.78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2,326.78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955.78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955.78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119.65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119.65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119.65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119.65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民政管理事务</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836.13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836.13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基层政权和社区建设</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836.13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836.13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230.85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230.85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230.85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230.85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230.85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230.85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1,140.15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1,140.15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1,140.15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1,140.15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1,140.15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1,140.15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南纬路(计划生育事务）</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16.06</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16.06</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卫生健康支出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计划生育事务</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其他计划生育事务支出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1.31</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1.31</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1.31</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南纬路（政府办公厅及相关机构事务）</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572.53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572.53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40.03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63.18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63.18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63.18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63.18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63.18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63.18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469.32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469.32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469.32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469.32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9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其他政府办公厅（室）及相关机构事务支出</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369.32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369.32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编制部门：高新区（新市区）南纬路片区管理委员会                 单位：万元</w:t>
      </w:r>
    </w:p>
    <w:tbl>
      <w:tblPr>
        <w:tblStyle w:val="7"/>
        <w:tblW w:w="8930" w:type="dxa"/>
        <w:tblInd w:w="0" w:type="dxa"/>
        <w:tblLayout w:type="fixed"/>
        <w:tblCellMar>
          <w:top w:w="15" w:type="dxa"/>
          <w:left w:w="15" w:type="dxa"/>
          <w:bottom w:w="15" w:type="dxa"/>
          <w:right w:w="15" w:type="dxa"/>
        </w:tblCellMar>
      </w:tblPr>
      <w:tblGrid>
        <w:gridCol w:w="782"/>
        <w:gridCol w:w="713"/>
        <w:gridCol w:w="780"/>
        <w:gridCol w:w="2061"/>
        <w:gridCol w:w="1451"/>
        <w:gridCol w:w="1694"/>
        <w:gridCol w:w="1449"/>
      </w:tblGrid>
      <w:tr>
        <w:tblPrEx>
          <w:tblLayout w:type="fixed"/>
          <w:tblCellMar>
            <w:top w:w="15" w:type="dxa"/>
            <w:left w:w="15" w:type="dxa"/>
            <w:bottom w:w="15" w:type="dxa"/>
            <w:right w:w="15" w:type="dxa"/>
          </w:tblCellMar>
        </w:tblPrEx>
        <w:trPr>
          <w:trHeight w:val="345" w:hRule="atLeast"/>
        </w:trPr>
        <w:tc>
          <w:tcPr>
            <w:tcW w:w="4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w:t>
            </w:r>
          </w:p>
        </w:tc>
        <w:tc>
          <w:tcPr>
            <w:tcW w:w="4594"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支出预算</w:t>
            </w:r>
          </w:p>
        </w:tc>
      </w:tr>
      <w:tr>
        <w:tblPrEx>
          <w:tblLayout w:type="fixed"/>
          <w:tblCellMar>
            <w:top w:w="15" w:type="dxa"/>
            <w:left w:w="15" w:type="dxa"/>
            <w:bottom w:w="15" w:type="dxa"/>
            <w:right w:w="15" w:type="dxa"/>
          </w:tblCellMar>
        </w:tblPrEx>
        <w:trPr>
          <w:trHeight w:val="345" w:hRule="atLeast"/>
        </w:trPr>
        <w:tc>
          <w:tcPr>
            <w:tcW w:w="22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功能分类科目编码</w:t>
            </w:r>
          </w:p>
        </w:tc>
        <w:tc>
          <w:tcPr>
            <w:tcW w:w="2061"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功能分类科目名称</w:t>
            </w:r>
          </w:p>
        </w:tc>
        <w:tc>
          <w:tcPr>
            <w:tcW w:w="1451"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  计</w:t>
            </w:r>
          </w:p>
        </w:tc>
        <w:tc>
          <w:tcPr>
            <w:tcW w:w="1694"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基本支出</w:t>
            </w:r>
          </w:p>
        </w:tc>
        <w:tc>
          <w:tcPr>
            <w:tcW w:w="1449"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项目支出</w:t>
            </w:r>
          </w:p>
        </w:tc>
      </w:tr>
      <w:tr>
        <w:tblPrEx>
          <w:tblLayout w:type="fixed"/>
          <w:tblCellMar>
            <w:top w:w="15" w:type="dxa"/>
            <w:left w:w="15" w:type="dxa"/>
            <w:bottom w:w="15" w:type="dxa"/>
            <w:right w:w="15" w:type="dxa"/>
          </w:tblCellMar>
        </w:tblPrEx>
        <w:trPr>
          <w:trHeight w:val="345" w:hRule="atLeast"/>
        </w:trPr>
        <w:tc>
          <w:tcPr>
            <w:tcW w:w="2275" w:type="dxa"/>
            <w:gridSpan w:val="3"/>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2061"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451"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694"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449"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40" w:hRule="atLeast"/>
        </w:trPr>
        <w:tc>
          <w:tcPr>
            <w:tcW w:w="78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713" w:type="dxa"/>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780" w:type="dxa"/>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w:t>
            </w:r>
          </w:p>
        </w:tc>
        <w:tc>
          <w:tcPr>
            <w:tcW w:w="2061"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451"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694"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449"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5,509.35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2,016.45</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3,492.90</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南纬路（政府办公厅及相关机构事务）</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572.53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472.53</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469.32</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政府办公厅（室）及相关机构事务</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469.32</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行政运行</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其他政府办公厅（室）及相关机构事务支出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1694"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南纬路(计划生育事务）</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医疗卫生与计划生育支出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计划生育事务</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07</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其他计划生育事务支出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南纬路（基层政权和社区建设）</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2,326.78</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1,490.65</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政府办公厅（室）及相关机构事务</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行政运行</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955.78</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民政管理事务</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c>
          <w:tcPr>
            <w:tcW w:w="1694"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02</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基层政权和社区建设</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c>
          <w:tcPr>
            <w:tcW w:w="1694"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南纬路（其它公共安全支出）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2,593.98</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37.21</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2,590.72</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33.95</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司法</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06</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行政运行</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2,561.63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2,561.63</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449"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1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8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0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451"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694"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44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782"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1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8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061"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451"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694"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4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tbl>
      <w:tblPr>
        <w:tblStyle w:val="7"/>
        <w:tblW w:w="7635" w:type="dxa"/>
        <w:tblInd w:w="0" w:type="dxa"/>
        <w:tblLayout w:type="fixed"/>
        <w:tblCellMar>
          <w:top w:w="0" w:type="dxa"/>
          <w:left w:w="0" w:type="dxa"/>
          <w:bottom w:w="0" w:type="dxa"/>
          <w:right w:w="0" w:type="dxa"/>
        </w:tblCellMar>
      </w:tblPr>
      <w:tblGrid>
        <w:gridCol w:w="1785"/>
        <w:gridCol w:w="975"/>
        <w:gridCol w:w="2670"/>
        <w:gridCol w:w="780"/>
        <w:gridCol w:w="930"/>
        <w:gridCol w:w="495"/>
      </w:tblGrid>
      <w:tr>
        <w:tblPrEx>
          <w:tblLayout w:type="fixed"/>
          <w:tblCellMar>
            <w:top w:w="0" w:type="dxa"/>
            <w:left w:w="0" w:type="dxa"/>
            <w:bottom w:w="0" w:type="dxa"/>
            <w:right w:w="0" w:type="dxa"/>
          </w:tblCellMar>
        </w:tblPrEx>
        <w:trPr>
          <w:trHeight w:val="345" w:hRule="atLeast"/>
        </w:trPr>
        <w:tc>
          <w:tcPr>
            <w:tcW w:w="1785"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Default" w:hAnsi="Default" w:eastAsia="Default" w:cs="Default"/>
                <w:b/>
                <w:color w:val="000000"/>
                <w:sz w:val="24"/>
              </w:rPr>
            </w:pPr>
            <w:r>
              <w:rPr>
                <w:rFonts w:ascii="Default" w:hAnsi="Default" w:eastAsia="Default" w:cs="Default"/>
                <w:b/>
                <w:color w:val="000000"/>
                <w:kern w:val="0"/>
                <w:sz w:val="24"/>
              </w:rPr>
              <w:t>表四：</w:t>
            </w:r>
          </w:p>
        </w:tc>
        <w:tc>
          <w:tcPr>
            <w:tcW w:w="97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67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8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3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45" w:hRule="atLeast"/>
        </w:trPr>
        <w:tc>
          <w:tcPr>
            <w:tcW w:w="7635" w:type="dxa"/>
            <w:gridSpan w:val="6"/>
            <w:vMerge w:val="restart"/>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tblPrEx>
          <w:tblLayout w:type="fixed"/>
          <w:tblCellMar>
            <w:top w:w="0" w:type="dxa"/>
            <w:left w:w="0" w:type="dxa"/>
            <w:bottom w:w="0" w:type="dxa"/>
            <w:right w:w="0" w:type="dxa"/>
          </w:tblCellMar>
        </w:tblPrEx>
        <w:trPr>
          <w:trHeight w:val="345" w:hRule="atLeast"/>
        </w:trPr>
        <w:tc>
          <w:tcPr>
            <w:tcW w:w="7635" w:type="dxa"/>
            <w:gridSpan w:val="6"/>
            <w:vMerge w:val="continue"/>
            <w:tcBorders>
              <w:top w:val="nil"/>
              <w:left w:val="nil"/>
              <w:bottom w:val="nil"/>
              <w:right w:val="nil"/>
            </w:tcBorders>
            <w:shd w:val="clear" w:color="auto" w:fill="FFFFFF"/>
            <w:tcMar>
              <w:top w:w="15" w:type="dxa"/>
              <w:left w:w="15" w:type="dxa"/>
              <w:right w:w="15" w:type="dxa"/>
            </w:tcMar>
            <w:vAlign w:val="center"/>
          </w:tcPr>
          <w:p>
            <w:pPr>
              <w:jc w:val="center"/>
              <w:rPr>
                <w:rFonts w:ascii="Default" w:hAnsi="Default" w:eastAsia="Default" w:cs="Default"/>
                <w:b/>
                <w:color w:val="000000"/>
                <w:sz w:val="28"/>
                <w:szCs w:val="28"/>
              </w:rPr>
            </w:pPr>
          </w:p>
        </w:tc>
      </w:tr>
      <w:tr>
        <w:tblPrEx>
          <w:tblLayout w:type="fixed"/>
          <w:tblCellMar>
            <w:top w:w="0" w:type="dxa"/>
            <w:left w:w="0" w:type="dxa"/>
            <w:bottom w:w="0" w:type="dxa"/>
            <w:right w:w="0" w:type="dxa"/>
          </w:tblCellMar>
        </w:tblPrEx>
        <w:trPr>
          <w:trHeight w:val="345" w:hRule="atLeast"/>
        </w:trPr>
        <w:tc>
          <w:tcPr>
            <w:tcW w:w="5430"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填报部门:南纬路片区管委会</w:t>
            </w:r>
          </w:p>
        </w:tc>
        <w:tc>
          <w:tcPr>
            <w:tcW w:w="78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425"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Layout w:type="fixed"/>
          <w:tblCellMar>
            <w:top w:w="0" w:type="dxa"/>
            <w:left w:w="0" w:type="dxa"/>
            <w:bottom w:w="0" w:type="dxa"/>
            <w:right w:w="0" w:type="dxa"/>
          </w:tblCellMar>
        </w:tblPrEx>
        <w:trPr>
          <w:trHeight w:val="34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财政拨款收入</w:t>
            </w:r>
          </w:p>
        </w:tc>
        <w:tc>
          <w:tcPr>
            <w:tcW w:w="4875"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财政拨款支出</w:t>
            </w:r>
          </w:p>
        </w:tc>
      </w:tr>
      <w:tr>
        <w:tblPrEx>
          <w:tblLayout w:type="fixed"/>
          <w:tblCellMar>
            <w:top w:w="0" w:type="dxa"/>
            <w:left w:w="0" w:type="dxa"/>
            <w:bottom w:w="0" w:type="dxa"/>
            <w:right w:w="0" w:type="dxa"/>
          </w:tblCellMar>
        </w:tblPrEx>
        <w:trPr>
          <w:trHeight w:val="540" w:hRule="atLeast"/>
        </w:trPr>
        <w:tc>
          <w:tcPr>
            <w:tcW w:w="17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267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一般公共预算</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政府基金预算</w:t>
            </w: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1,609.47</w:t>
            </w: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1,609.47</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2,887.18</w:t>
            </w: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2,887.18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1,000.38</w:t>
            </w: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1,000.38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12.32</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26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93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5,509.35</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749"/>
        <w:gridCol w:w="750"/>
        <w:gridCol w:w="749"/>
        <w:gridCol w:w="2561"/>
        <w:gridCol w:w="951"/>
        <w:gridCol w:w="318"/>
        <w:gridCol w:w="1585"/>
        <w:gridCol w:w="1267"/>
        <w:gridCol w:w="157"/>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5760"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高新区（新市区）南纬路片区管理委员会</w:t>
            </w:r>
          </w:p>
        </w:tc>
        <w:tc>
          <w:tcPr>
            <w:tcW w:w="3327" w:type="dxa"/>
            <w:gridSpan w:val="4"/>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15" w:type="dxa"/>
            <w:left w:w="15" w:type="dxa"/>
            <w:bottom w:w="15" w:type="dxa"/>
            <w:right w:w="15" w:type="dxa"/>
          </w:tblCellMar>
        </w:tblPrEx>
        <w:trPr>
          <w:gridAfter w:val="1"/>
          <w:wAfter w:w="157" w:type="dxa"/>
          <w:trHeight w:val="345" w:hRule="atLeast"/>
        </w:trPr>
        <w:tc>
          <w:tcPr>
            <w:tcW w:w="4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w:t>
            </w:r>
          </w:p>
        </w:tc>
        <w:tc>
          <w:tcPr>
            <w:tcW w:w="4121" w:type="dxa"/>
            <w:gridSpan w:val="4"/>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一般公共预算支出</w:t>
            </w:r>
          </w:p>
        </w:tc>
      </w:tr>
      <w:tr>
        <w:tblPrEx>
          <w:tblLayout w:type="fixed"/>
          <w:tblCellMar>
            <w:top w:w="15" w:type="dxa"/>
            <w:left w:w="15" w:type="dxa"/>
            <w:bottom w:w="15" w:type="dxa"/>
            <w:right w:w="15" w:type="dxa"/>
          </w:tblCellMar>
        </w:tblPrEx>
        <w:trPr>
          <w:gridAfter w:val="1"/>
          <w:wAfter w:w="157" w:type="dxa"/>
          <w:trHeight w:val="345"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功能分类科目编码</w:t>
            </w:r>
          </w:p>
        </w:tc>
        <w:tc>
          <w:tcPr>
            <w:tcW w:w="2561"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功能分类科目名称</w:t>
            </w:r>
          </w:p>
        </w:tc>
        <w:tc>
          <w:tcPr>
            <w:tcW w:w="1269" w:type="dxa"/>
            <w:gridSpan w:val="2"/>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小计</w:t>
            </w:r>
          </w:p>
        </w:tc>
        <w:tc>
          <w:tcPr>
            <w:tcW w:w="1585"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基本支出</w:t>
            </w:r>
          </w:p>
        </w:tc>
        <w:tc>
          <w:tcPr>
            <w:tcW w:w="1267"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项目支出</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750" w:type="dxa"/>
            <w:tcBorders>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749" w:type="dxa"/>
            <w:tcBorders>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w:t>
            </w:r>
          </w:p>
        </w:tc>
        <w:tc>
          <w:tcPr>
            <w:tcW w:w="2561" w:type="dxa"/>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269" w:type="dxa"/>
            <w:gridSpan w:val="2"/>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585" w:type="dxa"/>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267" w:type="dxa"/>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5,509.35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2,016.45</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3,492.90</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南纬路（政府办公厅及相关机构事务）</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572.53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472.53</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469.32</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政府办公厅（室）及相关机构事务</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469.32</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行政运行</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369.32</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其他政府办公厅（室）及相关机构事务支出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158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南纬路(计划生育事务）</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医疗卫生与计划生育支出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计划生育事务</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07</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其他计划生育事务支出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南纬路（基层政权和社区建设）</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2,326.78</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1,490.65</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政府办公厅（室）及相关机构事务</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行政运行</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1,140.15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955.78</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民政管理事务</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c>
          <w:tcPr>
            <w:tcW w:w="158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02</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c>
          <w:tcPr>
            <w:tcW w:w="158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南纬路（其它公共安全支出）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2,593.98</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37.21</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2,590.72</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33.95</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司法</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06</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行政运行</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29.09</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2,561.63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2,561.63</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267"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750"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749"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561"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269" w:type="dxa"/>
            <w:gridSpan w:val="2"/>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5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267"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gridAfter w:val="1"/>
          <w:wAfter w:w="157" w:type="dxa"/>
          <w:trHeight w:val="345" w:hRule="atLeast"/>
        </w:trPr>
        <w:tc>
          <w:tcPr>
            <w:tcW w:w="749"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49"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2561"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269" w:type="dxa"/>
            <w:gridSpan w:val="2"/>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585"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267"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7605" w:type="dxa"/>
        <w:tblInd w:w="0" w:type="dxa"/>
        <w:tblLayout w:type="fixed"/>
        <w:tblCellMar>
          <w:top w:w="15" w:type="dxa"/>
          <w:left w:w="15" w:type="dxa"/>
          <w:bottom w:w="15" w:type="dxa"/>
          <w:right w:w="15" w:type="dxa"/>
        </w:tblCellMar>
      </w:tblPr>
      <w:tblGrid>
        <w:gridCol w:w="1034"/>
        <w:gridCol w:w="998"/>
        <w:gridCol w:w="1818"/>
        <w:gridCol w:w="1438"/>
        <w:gridCol w:w="925"/>
        <w:gridCol w:w="1392"/>
      </w:tblGrid>
      <w:tr>
        <w:tblPrEx>
          <w:tblLayout w:type="fixed"/>
          <w:tblCellMar>
            <w:top w:w="15" w:type="dxa"/>
            <w:left w:w="15" w:type="dxa"/>
            <w:bottom w:w="15" w:type="dxa"/>
            <w:right w:w="15" w:type="dxa"/>
          </w:tblCellMar>
        </w:tblPrEx>
        <w:trPr>
          <w:trHeight w:val="345" w:hRule="atLeast"/>
        </w:trPr>
        <w:tc>
          <w:tcPr>
            <w:tcW w:w="1034" w:type="dxa"/>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w:t>
            </w:r>
          </w:p>
        </w:tc>
        <w:tc>
          <w:tcPr>
            <w:tcW w:w="5179" w:type="dxa"/>
            <w:gridSpan w:val="4"/>
            <w:shd w:val="clear" w:color="auto" w:fill="FFFFFF"/>
          </w:tcPr>
          <w:p>
            <w:pPr>
              <w:jc w:val="left"/>
              <w:rPr>
                <w:rFonts w:hint="eastAsia" w:ascii="Default" w:hAnsi="Default" w:cs="Default"/>
                <w:color w:val="000000"/>
                <w:sz w:val="20"/>
                <w:szCs w:val="20"/>
              </w:rPr>
            </w:pPr>
            <w:r>
              <w:rPr>
                <w:rFonts w:hint="eastAsia" w:ascii="Default" w:hAnsi="Default" w:cs="Default"/>
                <w:color w:val="000000"/>
                <w:sz w:val="20"/>
                <w:szCs w:val="20"/>
              </w:rPr>
              <w:t>高新区（新市区）南纬路片区管理委员会</w:t>
            </w:r>
          </w:p>
        </w:tc>
        <w:tc>
          <w:tcPr>
            <w:tcW w:w="1392"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w:t>
            </w:r>
          </w:p>
        </w:tc>
        <w:tc>
          <w:tcPr>
            <w:tcW w:w="3755"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一般公共预算基本支出</w:t>
            </w:r>
          </w:p>
        </w:tc>
      </w:tr>
      <w:tr>
        <w:tblPrEx>
          <w:tblLayout w:type="fixed"/>
          <w:tblCellMar>
            <w:top w:w="15" w:type="dxa"/>
            <w:left w:w="15" w:type="dxa"/>
            <w:bottom w:w="15" w:type="dxa"/>
            <w:right w:w="15" w:type="dxa"/>
          </w:tblCellMar>
        </w:tblPrEx>
        <w:trPr>
          <w:trHeight w:val="345" w:hRule="atLeast"/>
        </w:trPr>
        <w:tc>
          <w:tcPr>
            <w:tcW w:w="203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经济分类科目编码</w:t>
            </w:r>
          </w:p>
        </w:tc>
        <w:tc>
          <w:tcPr>
            <w:tcW w:w="181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经济分类科目名称</w:t>
            </w:r>
          </w:p>
        </w:tc>
        <w:tc>
          <w:tcPr>
            <w:tcW w:w="143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小计</w:t>
            </w:r>
          </w:p>
        </w:tc>
        <w:tc>
          <w:tcPr>
            <w:tcW w:w="925"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人员经费</w:t>
            </w:r>
          </w:p>
        </w:tc>
        <w:tc>
          <w:tcPr>
            <w:tcW w:w="139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公用经费</w:t>
            </w:r>
          </w:p>
        </w:tc>
      </w:tr>
      <w:tr>
        <w:tblPrEx>
          <w:tblLayout w:type="fixed"/>
          <w:tblCellMar>
            <w:top w:w="15" w:type="dxa"/>
            <w:left w:w="15" w:type="dxa"/>
            <w:bottom w:w="15" w:type="dxa"/>
            <w:right w:w="15" w:type="dxa"/>
          </w:tblCellMar>
        </w:tblPrEx>
        <w:trPr>
          <w:trHeight w:val="345" w:hRule="atLeast"/>
        </w:trPr>
        <w:tc>
          <w:tcPr>
            <w:tcW w:w="1034"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998" w:type="dxa"/>
            <w:tcBorders>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1818" w:type="dxa"/>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438" w:type="dxa"/>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925" w:type="dxa"/>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392" w:type="dxa"/>
            <w:vMerge w:val="continue"/>
            <w:tcBorders>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2,016.45</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1,623.88</w:t>
            </w: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91.25</w:t>
            </w:r>
          </w:p>
        </w:tc>
      </w:tr>
      <w:tr>
        <w:tblPrEx>
          <w:tblLayout w:type="fixed"/>
          <w:tblCellMar>
            <w:top w:w="15" w:type="dxa"/>
            <w:left w:w="15" w:type="dxa"/>
            <w:bottom w:w="15" w:type="dxa"/>
            <w:right w:w="15" w:type="dxa"/>
          </w:tblCellMar>
        </w:tblPrEx>
        <w:trPr>
          <w:trHeight w:val="900" w:hRule="atLeast"/>
        </w:trPr>
        <w:tc>
          <w:tcPr>
            <w:tcW w:w="1034"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047001001-南纬路（政府办公厅及相关机构事务）</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472.53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379.43</w:t>
            </w: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29.92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379.43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379.43</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95.33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95.33</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125.48</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125.48</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54.74</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54.74</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40.03</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18.01</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18.01</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40.24</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40.24</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29.92</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29.92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2.15</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2.15</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1.16</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1.53</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1.53</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0.71</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0.71</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取暖费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2.41</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2.41</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1.64</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1.64</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2.88</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专用材料费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0.12</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3.84</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3.84</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8.84</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8.84</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公务用车运行维护费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其他商品和服务支出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0.10</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0.10</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63.18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047001002-南纬路(计划生育事务）</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13.00</w:t>
            </w: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0.63</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13.00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13.00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0.90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0.90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绩效工资</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3.71</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3.71</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0.59</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0.59</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1.41</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1.41</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0.63</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0.63</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0.04</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0.04</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0.03</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0.03</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0.10</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0.10</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0.18</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900" w:hRule="atLeast"/>
        </w:trPr>
        <w:tc>
          <w:tcPr>
            <w:tcW w:w="1034"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047001003-南纬路（基层政权和社区建设）</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1,490.65</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1,200.98</w:t>
            </w: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58.82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1,200.98</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1,200.98</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260.80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260.80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88.11</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88.11</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171.00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171.00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绩效工资</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352.58</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352.58</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119.65</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53.84</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53.84</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11.96</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11.97</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11.97</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131.07</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131.07</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58.82</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58.82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7.86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7.86</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4.24</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4.24</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5.60</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5.60</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2.56</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5.99</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5.99</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维修(护)费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0.29</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0.29</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8.97</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8.97</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专用材料费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0.45</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0.45</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6.82</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6.82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15.68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15.68</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其他商品和服务支出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0.36</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230.85</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047001004-南纬路（其它公共安全支出）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37.21</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30.47</w:t>
            </w: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1.88</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30.47</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30.47</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6.07</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6.07</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11.90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4.11</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4.11</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3.26</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1.47</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1.47</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0.33</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3.20</w:t>
            </w:r>
          </w:p>
        </w:tc>
        <w:tc>
          <w:tcPr>
            <w:tcW w:w="92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3.20</w:t>
            </w: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1.88</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1.88</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0.17</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0.17</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0.09</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0.09</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0.12</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0.05</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0.05</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维修(护)费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0.24</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0.24</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专用材料费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0.32</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0.32</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0.73</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0.73</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其他商品和服务支出</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00" w:hRule="atLeast"/>
        </w:trPr>
        <w:tc>
          <w:tcPr>
            <w:tcW w:w="1034"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99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81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438"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92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01" w:hRule="atLeast"/>
        </w:trPr>
        <w:tc>
          <w:tcPr>
            <w:tcW w:w="1034"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9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81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25"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392"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8930" w:type="dxa"/>
        <w:tblInd w:w="0" w:type="dxa"/>
        <w:tblLayout w:type="fixed"/>
        <w:tblCellMar>
          <w:top w:w="15" w:type="dxa"/>
          <w:left w:w="15" w:type="dxa"/>
          <w:bottom w:w="15" w:type="dxa"/>
          <w:right w:w="15" w:type="dxa"/>
        </w:tblCellMar>
      </w:tblPr>
      <w:tblGrid>
        <w:gridCol w:w="405"/>
        <w:gridCol w:w="438"/>
        <w:gridCol w:w="438"/>
        <w:gridCol w:w="1153"/>
        <w:gridCol w:w="727"/>
        <w:gridCol w:w="750"/>
        <w:gridCol w:w="438"/>
        <w:gridCol w:w="750"/>
        <w:gridCol w:w="673"/>
        <w:gridCol w:w="519"/>
        <w:gridCol w:w="665"/>
        <w:gridCol w:w="388"/>
        <w:gridCol w:w="508"/>
        <w:gridCol w:w="300"/>
        <w:gridCol w:w="475"/>
        <w:gridCol w:w="303"/>
      </w:tblGrid>
      <w:tr>
        <w:tblPrEx>
          <w:tblLayout w:type="fixed"/>
          <w:tblCellMar>
            <w:top w:w="15" w:type="dxa"/>
            <w:left w:w="15" w:type="dxa"/>
            <w:bottom w:w="15" w:type="dxa"/>
            <w:right w:w="15" w:type="dxa"/>
          </w:tblCellMar>
        </w:tblPrEx>
        <w:trPr>
          <w:trHeight w:val="345" w:hRule="atLeast"/>
        </w:trPr>
        <w:tc>
          <w:tcPr>
            <w:tcW w:w="1281" w:type="dxa"/>
            <w:gridSpan w:val="3"/>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w:t>
            </w:r>
          </w:p>
        </w:tc>
        <w:tc>
          <w:tcPr>
            <w:tcW w:w="5675" w:type="dxa"/>
            <w:gridSpan w:val="8"/>
            <w:shd w:val="clear" w:color="auto" w:fill="FFFFFF"/>
          </w:tcPr>
          <w:p>
            <w:pPr>
              <w:jc w:val="left"/>
              <w:rPr>
                <w:rFonts w:hint="eastAsia" w:ascii="Default" w:hAnsi="Default" w:cs="Default"/>
                <w:color w:val="000000"/>
                <w:sz w:val="20"/>
                <w:szCs w:val="20"/>
              </w:rPr>
            </w:pPr>
            <w:r>
              <w:rPr>
                <w:rFonts w:hint="eastAsia" w:ascii="Default" w:hAnsi="Default" w:cs="Default"/>
                <w:color w:val="000000"/>
                <w:sz w:val="20"/>
                <w:szCs w:val="20"/>
              </w:rPr>
              <w:t>高新区（新市区）南纬路片区管理委员会</w:t>
            </w:r>
          </w:p>
        </w:tc>
        <w:tc>
          <w:tcPr>
            <w:tcW w:w="388" w:type="dxa"/>
            <w:shd w:val="clear" w:color="auto" w:fill="FFFFFF"/>
          </w:tcPr>
          <w:p>
            <w:pPr>
              <w:jc w:val="left"/>
              <w:rPr>
                <w:rFonts w:ascii="Default" w:hAnsi="Default" w:eastAsia="Default" w:cs="Default"/>
                <w:color w:val="000000"/>
                <w:sz w:val="20"/>
                <w:szCs w:val="20"/>
              </w:rPr>
            </w:pPr>
          </w:p>
        </w:tc>
        <w:tc>
          <w:tcPr>
            <w:tcW w:w="508" w:type="dxa"/>
            <w:shd w:val="clear" w:color="auto" w:fill="FFFFFF"/>
          </w:tcPr>
          <w:p>
            <w:pPr>
              <w:jc w:val="left"/>
              <w:rPr>
                <w:rFonts w:ascii="Default" w:hAnsi="Default" w:eastAsia="Default" w:cs="Default"/>
                <w:color w:val="000000"/>
                <w:sz w:val="20"/>
                <w:szCs w:val="20"/>
              </w:rPr>
            </w:pPr>
          </w:p>
        </w:tc>
        <w:tc>
          <w:tcPr>
            <w:tcW w:w="1078" w:type="dxa"/>
            <w:gridSpan w:val="3"/>
            <w:shd w:val="clear" w:color="auto" w:fill="FFFFFF"/>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科目编码</w:t>
            </w:r>
          </w:p>
        </w:tc>
        <w:tc>
          <w:tcPr>
            <w:tcW w:w="1153"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科目</w:t>
            </w:r>
          </w:p>
        </w:tc>
        <w:tc>
          <w:tcPr>
            <w:tcW w:w="72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75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项目支出支出</w:t>
            </w:r>
          </w:p>
        </w:tc>
        <w:tc>
          <w:tcPr>
            <w:tcW w:w="438"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75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673"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519"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债务利息及费用支出</w:t>
            </w:r>
          </w:p>
        </w:tc>
        <w:tc>
          <w:tcPr>
            <w:tcW w:w="66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资本性支出（基本建设）</w:t>
            </w:r>
          </w:p>
        </w:tc>
        <w:tc>
          <w:tcPr>
            <w:tcW w:w="388"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资本性支出</w:t>
            </w:r>
          </w:p>
        </w:tc>
        <w:tc>
          <w:tcPr>
            <w:tcW w:w="508"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对企业补助（基本建设）</w:t>
            </w:r>
          </w:p>
        </w:tc>
        <w:tc>
          <w:tcPr>
            <w:tcW w:w="30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对企业补助</w:t>
            </w:r>
          </w:p>
        </w:tc>
        <w:tc>
          <w:tcPr>
            <w:tcW w:w="47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对社会保障基金补助</w:t>
            </w:r>
          </w:p>
        </w:tc>
        <w:tc>
          <w:tcPr>
            <w:tcW w:w="303"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其他支出</w:t>
            </w:r>
          </w:p>
        </w:tc>
      </w:tr>
      <w:tr>
        <w:tblPrEx>
          <w:tblLayout w:type="fixed"/>
          <w:tblCellMar>
            <w:top w:w="15" w:type="dxa"/>
            <w:left w:w="15" w:type="dxa"/>
            <w:bottom w:w="15" w:type="dxa"/>
            <w:right w:w="15" w:type="dxa"/>
          </w:tblCellMar>
        </w:tblPrEx>
        <w:trPr>
          <w:trHeight w:val="945" w:hRule="atLeast"/>
        </w:trPr>
        <w:tc>
          <w:tcPr>
            <w:tcW w:w="405"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438"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438"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w:t>
            </w:r>
          </w:p>
        </w:tc>
        <w:tc>
          <w:tcPr>
            <w:tcW w:w="1153"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72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75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438"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75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673"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519"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66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388"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508"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30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4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303"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153"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27"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3,492.90</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2,701.16</w:t>
            </w: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767.94</w:t>
            </w: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23.80</w:t>
            </w: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南纬路（政府办公厅及相关机构事务）</w:t>
            </w:r>
          </w:p>
        </w:tc>
        <w:tc>
          <w:tcPr>
            <w:tcW w:w="727"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其他政府办公厅（室）及相关机构事务支出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工作经费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南纬路（基层政权和社区建设）</w:t>
            </w:r>
          </w:p>
        </w:tc>
        <w:tc>
          <w:tcPr>
            <w:tcW w:w="727"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836.13</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642.89</w:t>
            </w: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193.24</w:t>
            </w: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包户业绩考核</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87.04</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87.04</w:t>
            </w: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公岗人员工作经费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43.73</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43.73</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伙食补助</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129.16</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129.16</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基层岗贴</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59.38</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59.38</w:t>
            </w: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楼栋长津贴</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46.82</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46.82</w:t>
            </w: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社区经费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470.00</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470.00</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438"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南纬路（其它公共安全支出）</w:t>
            </w:r>
          </w:p>
        </w:tc>
        <w:tc>
          <w:tcPr>
            <w:tcW w:w="727"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2,556.77</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1,958.27</w:t>
            </w: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574.70</w:t>
            </w: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23.80</w:t>
            </w: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便民警务站餐费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275.94</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275.94</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便民警务站服装费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77.33</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77.33</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便民警务站运行费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107.92</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107.92</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4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便民警务站装备费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23.80</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23.80</w:t>
            </w: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非在编补贴（公岗）</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171.60</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171.60</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8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0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3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非在编补贴（巡逻队员）</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233.12</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233.12</w:t>
            </w:r>
          </w:p>
        </w:tc>
        <w:tc>
          <w:tcPr>
            <w:tcW w:w="5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8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巡逻员工资</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341.58</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673"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341.58</w:t>
            </w:r>
          </w:p>
        </w:tc>
        <w:tc>
          <w:tcPr>
            <w:tcW w:w="5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8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555" w:hRule="atLeast"/>
        </w:trPr>
        <w:tc>
          <w:tcPr>
            <w:tcW w:w="405"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438"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153"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27" w:type="dxa"/>
            <w:tcBorders>
              <w:bottom w:val="single" w:color="000000" w:sz="4" w:space="0"/>
              <w:right w:val="single" w:color="000000" w:sz="4" w:space="0"/>
            </w:tcBorders>
            <w:shd w:val="clear" w:color="auto" w:fill="FFFFFF"/>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巡逻员工资（巡逻防控队员工资和管理费）</w:t>
            </w: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1,325.48</w:t>
            </w:r>
          </w:p>
        </w:tc>
        <w:tc>
          <w:tcPr>
            <w:tcW w:w="438"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75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1,325.48</w:t>
            </w:r>
          </w:p>
        </w:tc>
        <w:tc>
          <w:tcPr>
            <w:tcW w:w="673"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51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6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8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5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编制单位：高新区（新市区）南纬路片区管理委员会             单位：万元</w:t>
      </w:r>
    </w:p>
    <w:tbl>
      <w:tblPr>
        <w:tblStyle w:val="7"/>
        <w:tblW w:w="8325" w:type="dxa"/>
        <w:tblInd w:w="0" w:type="dxa"/>
        <w:tblLayout w:type="fixed"/>
        <w:tblCellMar>
          <w:top w:w="15" w:type="dxa"/>
          <w:left w:w="15" w:type="dxa"/>
          <w:bottom w:w="15" w:type="dxa"/>
          <w:right w:w="15" w:type="dxa"/>
        </w:tblCellMar>
      </w:tblPr>
      <w:tblGrid>
        <w:gridCol w:w="1785"/>
        <w:gridCol w:w="1575"/>
        <w:gridCol w:w="960"/>
        <w:gridCol w:w="1470"/>
        <w:gridCol w:w="1575"/>
        <w:gridCol w:w="960"/>
      </w:tblGrid>
      <w:tr>
        <w:tblPrEx>
          <w:tblLayout w:type="fixed"/>
          <w:tblCellMar>
            <w:top w:w="15" w:type="dxa"/>
            <w:left w:w="15" w:type="dxa"/>
            <w:bottom w:w="15" w:type="dxa"/>
            <w:right w:w="15" w:type="dxa"/>
          </w:tblCellMar>
        </w:tblPrEx>
        <w:trPr>
          <w:trHeight w:val="345" w:hRule="atLeast"/>
        </w:trPr>
        <w:tc>
          <w:tcPr>
            <w:tcW w:w="1785"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   计</w:t>
            </w:r>
          </w:p>
        </w:tc>
        <w:tc>
          <w:tcPr>
            <w:tcW w:w="1575"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因公出国（境）费用</w:t>
            </w:r>
          </w:p>
        </w:tc>
        <w:tc>
          <w:tcPr>
            <w:tcW w:w="4005" w:type="dxa"/>
            <w:gridSpan w:val="3"/>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公务用车购置及运行费</w:t>
            </w:r>
          </w:p>
        </w:tc>
        <w:tc>
          <w:tcPr>
            <w:tcW w:w="960"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公务接待费</w:t>
            </w:r>
          </w:p>
        </w:tc>
      </w:tr>
      <w:tr>
        <w:tblPrEx>
          <w:tblLayout w:type="fixed"/>
          <w:tblCellMar>
            <w:top w:w="15" w:type="dxa"/>
            <w:left w:w="15" w:type="dxa"/>
            <w:bottom w:w="15" w:type="dxa"/>
            <w:right w:w="15" w:type="dxa"/>
          </w:tblCellMar>
        </w:tblPrEx>
        <w:trPr>
          <w:trHeight w:val="900" w:hRule="atLeast"/>
        </w:trPr>
        <w:tc>
          <w:tcPr>
            <w:tcW w:w="1785"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1575"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c>
          <w:tcPr>
            <w:tcW w:w="960" w:type="dxa"/>
            <w:tcBorders>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小计</w:t>
            </w:r>
          </w:p>
        </w:tc>
        <w:tc>
          <w:tcPr>
            <w:tcW w:w="1470" w:type="dxa"/>
            <w:tcBorders>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公务用车购置费</w:t>
            </w:r>
          </w:p>
        </w:tc>
        <w:tc>
          <w:tcPr>
            <w:tcW w:w="1575" w:type="dxa"/>
            <w:tcBorders>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公务用车运行费</w:t>
            </w:r>
          </w:p>
        </w:tc>
        <w:tc>
          <w:tcPr>
            <w:tcW w:w="960"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17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5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96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47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96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178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575"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960"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47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960" w:type="dxa"/>
            <w:tcBorders>
              <w:bottom w:val="single" w:color="000000" w:sz="4" w:space="0"/>
              <w:right w:val="single" w:color="000000" w:sz="4" w:space="0"/>
            </w:tcBorders>
            <w:shd w:val="clear" w:color="auto" w:fill="FFFFFF"/>
          </w:tcPr>
          <w:p>
            <w:pPr>
              <w:jc w:val="right"/>
              <w:rPr>
                <w:rFonts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345" w:hRule="atLeast"/>
        </w:trPr>
        <w:tc>
          <w:tcPr>
            <w:tcW w:w="1785"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575"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6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47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1575"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c>
          <w:tcPr>
            <w:tcW w:w="960" w:type="dxa"/>
            <w:tcBorders>
              <w:bottom w:val="single" w:color="000000" w:sz="4" w:space="0"/>
              <w:right w:val="single" w:color="000000" w:sz="4" w:space="0"/>
            </w:tcBorders>
            <w:shd w:val="clear" w:color="auto" w:fill="FFFFFF"/>
          </w:tcPr>
          <w:p>
            <w:pPr>
              <w:jc w:val="left"/>
              <w:rPr>
                <w:rFonts w:ascii="仿宋" w:hAnsi="仿宋" w:eastAsia="仿宋" w:cs="仿宋"/>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编制单位：高新区（新市区）南纬路片区管理委员公                  单位：万元</w:t>
      </w:r>
    </w:p>
    <w:tbl>
      <w:tblPr>
        <w:tblStyle w:val="7"/>
        <w:tblW w:w="8930" w:type="dxa"/>
        <w:tblInd w:w="0" w:type="dxa"/>
        <w:tblLayout w:type="fixed"/>
        <w:tblCellMar>
          <w:top w:w="15" w:type="dxa"/>
          <w:left w:w="15" w:type="dxa"/>
          <w:bottom w:w="15" w:type="dxa"/>
          <w:right w:w="15" w:type="dxa"/>
        </w:tblCellMar>
      </w:tblPr>
      <w:tblGrid>
        <w:gridCol w:w="818"/>
        <w:gridCol w:w="830"/>
        <w:gridCol w:w="831"/>
        <w:gridCol w:w="2181"/>
        <w:gridCol w:w="1363"/>
        <w:gridCol w:w="1545"/>
        <w:gridCol w:w="1362"/>
      </w:tblGrid>
      <w:tr>
        <w:tblPrEx>
          <w:tblLayout w:type="fixed"/>
          <w:tblCellMar>
            <w:top w:w="15" w:type="dxa"/>
            <w:left w:w="15" w:type="dxa"/>
            <w:bottom w:w="15" w:type="dxa"/>
            <w:right w:w="15" w:type="dxa"/>
          </w:tblCellMar>
        </w:tblPrEx>
        <w:trPr>
          <w:trHeight w:val="435" w:hRule="atLeast"/>
        </w:trPr>
        <w:tc>
          <w:tcPr>
            <w:tcW w:w="4660"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      目</w:t>
            </w:r>
          </w:p>
        </w:tc>
        <w:tc>
          <w:tcPr>
            <w:tcW w:w="4270" w:type="dxa"/>
            <w:gridSpan w:val="3"/>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政府性基金预算支出</w:t>
            </w:r>
          </w:p>
        </w:tc>
      </w:tr>
      <w:tr>
        <w:tblPrEx>
          <w:tblLayout w:type="fixed"/>
          <w:tblCellMar>
            <w:top w:w="15" w:type="dxa"/>
            <w:left w:w="15" w:type="dxa"/>
            <w:bottom w:w="15" w:type="dxa"/>
            <w:right w:w="15" w:type="dxa"/>
          </w:tblCellMar>
        </w:tblPrEx>
        <w:trPr>
          <w:trHeight w:val="366" w:hRule="atLeast"/>
        </w:trPr>
        <w:tc>
          <w:tcPr>
            <w:tcW w:w="2479" w:type="dxa"/>
            <w:gridSpan w:val="3"/>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功能分类科目编码</w:t>
            </w:r>
          </w:p>
        </w:tc>
        <w:tc>
          <w:tcPr>
            <w:tcW w:w="2181"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功能分类科目名称</w:t>
            </w:r>
          </w:p>
        </w:tc>
        <w:tc>
          <w:tcPr>
            <w:tcW w:w="1363"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  计</w:t>
            </w:r>
          </w:p>
        </w:tc>
        <w:tc>
          <w:tcPr>
            <w:tcW w:w="1545"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基本支出</w:t>
            </w:r>
          </w:p>
        </w:tc>
        <w:tc>
          <w:tcPr>
            <w:tcW w:w="1362" w:type="dxa"/>
            <w:vMerge w:val="restart"/>
            <w:tcBorders>
              <w:top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项目支出</w:t>
            </w:r>
          </w:p>
        </w:tc>
      </w:tr>
      <w:tr>
        <w:tblPrEx>
          <w:tblLayout w:type="fixed"/>
          <w:tblCellMar>
            <w:top w:w="15" w:type="dxa"/>
            <w:left w:w="15" w:type="dxa"/>
            <w:bottom w:w="15" w:type="dxa"/>
            <w:right w:w="15" w:type="dxa"/>
          </w:tblCellMar>
        </w:tblPrEx>
        <w:trPr>
          <w:trHeight w:val="366" w:hRule="atLeast"/>
        </w:trPr>
        <w:tc>
          <w:tcPr>
            <w:tcW w:w="2479" w:type="dxa"/>
            <w:gridSpan w:val="3"/>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c>
          <w:tcPr>
            <w:tcW w:w="2181"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c>
          <w:tcPr>
            <w:tcW w:w="1363"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c>
          <w:tcPr>
            <w:tcW w:w="1545"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c>
          <w:tcPr>
            <w:tcW w:w="1362"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818" w:type="dxa"/>
            <w:tcBorders>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类</w:t>
            </w:r>
          </w:p>
        </w:tc>
        <w:tc>
          <w:tcPr>
            <w:tcW w:w="830" w:type="dxa"/>
            <w:tcBorders>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款</w:t>
            </w:r>
          </w:p>
        </w:tc>
        <w:tc>
          <w:tcPr>
            <w:tcW w:w="831" w:type="dxa"/>
            <w:tcBorders>
              <w:bottom w:val="single" w:color="000000" w:sz="4" w:space="0"/>
              <w:right w:val="single" w:color="000000" w:sz="4" w:space="0"/>
            </w:tcBorders>
            <w:shd w:val="clear" w:color="auto" w:fill="99CC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w:t>
            </w:r>
          </w:p>
        </w:tc>
        <w:tc>
          <w:tcPr>
            <w:tcW w:w="2181"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c>
          <w:tcPr>
            <w:tcW w:w="1363"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c>
          <w:tcPr>
            <w:tcW w:w="1545"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c>
          <w:tcPr>
            <w:tcW w:w="1362" w:type="dxa"/>
            <w:vMerge w:val="continue"/>
            <w:tcBorders>
              <w:top w:val="single" w:color="000000" w:sz="4" w:space="0"/>
              <w:bottom w:val="single" w:color="000000" w:sz="4" w:space="0"/>
              <w:right w:val="single" w:color="000000" w:sz="4" w:space="0"/>
            </w:tcBorders>
            <w:shd w:val="clear" w:color="auto" w:fill="99CCFF"/>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345" w:hRule="atLeast"/>
        </w:trPr>
        <w:tc>
          <w:tcPr>
            <w:tcW w:w="818"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830"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831"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2181"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1363" w:type="dxa"/>
            <w:tcBorders>
              <w:bottom w:val="single" w:color="000000" w:sz="4" w:space="0"/>
              <w:right w:val="single" w:color="000000" w:sz="4" w:space="0"/>
            </w:tcBorders>
            <w:shd w:val="clear" w:color="auto" w:fill="FFFFFF"/>
          </w:tcPr>
          <w:p>
            <w:pPr>
              <w:jc w:val="right"/>
              <w:rPr>
                <w:rFonts w:ascii="仿宋" w:hAnsi="仿宋" w:eastAsia="仿宋" w:cs="仿宋"/>
                <w:color w:val="000000"/>
                <w:szCs w:val="21"/>
              </w:rPr>
            </w:pPr>
          </w:p>
        </w:tc>
        <w:tc>
          <w:tcPr>
            <w:tcW w:w="1545" w:type="dxa"/>
            <w:tcBorders>
              <w:bottom w:val="single" w:color="000000" w:sz="4" w:space="0"/>
              <w:right w:val="single" w:color="000000" w:sz="4" w:space="0"/>
            </w:tcBorders>
            <w:shd w:val="clear" w:color="auto" w:fill="FFFFFF"/>
          </w:tcPr>
          <w:p>
            <w:pPr>
              <w:jc w:val="right"/>
              <w:rPr>
                <w:rFonts w:ascii="仿宋" w:hAnsi="仿宋" w:eastAsia="仿宋" w:cs="仿宋"/>
                <w:color w:val="000000"/>
                <w:szCs w:val="21"/>
              </w:rPr>
            </w:pPr>
          </w:p>
        </w:tc>
        <w:tc>
          <w:tcPr>
            <w:tcW w:w="1362" w:type="dxa"/>
            <w:tcBorders>
              <w:bottom w:val="single" w:color="000000" w:sz="4" w:space="0"/>
              <w:right w:val="single" w:color="000000" w:sz="4" w:space="0"/>
            </w:tcBorders>
            <w:shd w:val="clear" w:color="auto" w:fill="FFFFFF"/>
          </w:tcPr>
          <w:p>
            <w:pPr>
              <w:jc w:val="right"/>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345" w:hRule="atLeast"/>
        </w:trPr>
        <w:tc>
          <w:tcPr>
            <w:tcW w:w="818" w:type="dxa"/>
            <w:tcBorders>
              <w:left w:val="single" w:color="000000" w:sz="4" w:space="0"/>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830"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831"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2181"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1363"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1545"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c>
          <w:tcPr>
            <w:tcW w:w="1362" w:type="dxa"/>
            <w:tcBorders>
              <w:bottom w:val="single" w:color="000000" w:sz="4" w:space="0"/>
              <w:right w:val="single" w:color="000000" w:sz="4" w:space="0"/>
            </w:tcBorders>
            <w:shd w:val="clear" w:color="auto" w:fill="FFFFFF"/>
          </w:tcPr>
          <w:p>
            <w:pPr>
              <w:jc w:val="left"/>
              <w:rPr>
                <w:rFonts w:ascii="仿宋" w:hAnsi="仿宋" w:eastAsia="仿宋" w:cs="仿宋"/>
                <w:color w:val="000000"/>
                <w:szCs w:val="21"/>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备注：此表为空表无政府性基金预算。</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cs="黑体"/>
          <w:kern w:val="0"/>
          <w:sz w:val="32"/>
          <w:szCs w:val="32"/>
        </w:rPr>
        <w:t>南纬路片区管理委员会</w:t>
      </w:r>
      <w:r>
        <w:rPr>
          <w:rFonts w:hint="eastAsia" w:ascii="黑体" w:hAnsi="宋体" w:eastAsia="黑体" w:cs="宋体"/>
          <w:kern w:val="0"/>
          <w:sz w:val="32"/>
          <w:szCs w:val="32"/>
        </w:rPr>
        <w:t>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按照全口径预算的原则，南纬路片区管理委员会2019年所有收入和支出均纳入部门预算管理。收支总预算5509.35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 5509.35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 1609.47 万元、公共安全支出2887.18万元，社会保障和就业支出1000.38万元，医疗卫生与计划生育支出12.32万元。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二、关于南纬路片区管理委员会2019年收入预算情况说明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南纬路片区管理委员会收入预算5509.35万元，其中：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一般公共预算5509.35万元，占100 %，比上年增加1087.9 万元，主要原因是增加了警务站餐费同、服装费和装备费，还有非在编补贴相应的增加，管委会新增运行经费100万元，社区每年都有新纳编工作人员，工资福利支出相应增加；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三、关于南纬路片区管理委员会2019年支出预算情况说明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南纬路片区管理委员会2019年支出预算 5509.35万   元，其中：基本支出2016.45万元，占36.6 %，比上年增加147.45  万元，主要原因是社区每年都有新纳编工作人员，工资福利支出相应增加。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项目支出3492.9万元，占 63.4 %，比上年增加940.45  万元，主要原因是新增警务站餐费、服装、装备经费，管委会增加了运行经费，非在编补贴的增加。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四、关于南纬路片区管理委员会2019年财政拨款收支预算情况的总体说明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 5509.35万元。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五、关于南纬路片区管理委员会2019年一般公共预算当年拨款情况说明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南纬路片区管理委员会2019年一般公共预算拨款基本支出5509.35万元，比上年执行数增加1087.9万元，增长24.6 %。主要原因是： 增加便民警务站费、服装费、装备费，非在编给稳费增加，社区每年都有新纳编工作人员，工资福利支出相应增加。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1.一般公共服务（类）1609.47</w:t>
      </w:r>
      <w:r>
        <w:rPr>
          <w:rFonts w:hint="eastAsia" w:ascii="仿宋_GB2312" w:hAnsi="宋体" w:eastAsia="仿宋_GB2312" w:cs="宋体"/>
          <w:kern w:val="0"/>
          <w:sz w:val="32"/>
          <w:szCs w:val="32"/>
        </w:rPr>
        <w:t>万元，占29.2 %；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2.公共安全支出（类）2887.18万元，占52.4%；</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3.社公保障和就业支出（类）1000.38万元，占18.2%;</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4.医疗卫生与计划生育支出（类）12.32万元，占0.2%.</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1.一般公共服务支出（类）政府办公厅（室）及相关机构事务(款)行运行（项）：2019 年预算数为 1609.47 万元，比上年执行数增加1232.05万元，上涨326.44%，主要原因是事业编制人员工资福利支出由社会保障和就业支出调至一般公共服务支出，社区新纳纳编了14人，导致工资福利及行政运行费用增加。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2.公共安全支出（类）其他公共安全支出(款)其他公共安全支出（项）：2019 年预算数为 2887.18万元，比上年执行数增加760.37万元，增长35.75%，主要原因是：增加便民警务站的餐费、服装费、装备费。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 医疗卫生与计划生育支出（类）计划生育事务(款)其他计划生育事务支出（项）：2019 年预算数为:12.38 万元，比上年执行数增加了0.51 万元，增加了4.29%，主要原因是：工资福利的变动。</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4.社会保障和就业支出（类）民政管理事务(款)基层政权和社区建设（项）：2019 年预算数为1000.38万元，比上年执行数减少754.03万元，减少42.98%，主要原因是：事业编制人员工资福利支出由社会保障和就业支出调至一般公共服务支出。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六、关于南纬路片区管理委员会2019年一般公共预算基本支出情况说明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南纬路片区管理委员会2019年一般公共预算基本支出      1609.47万元， 其中：人员经费1623.88 万元，主要包括：基本工资365.22万元、津贴补贴 226.39 万元、奖金231.65 万元、机关事业单位基本养老保险缴费164.25 万元职工基本医疗保险缴费73.91 万元、公务员医疗补助缴费16.42万元、其他社会保障缴费13.83 万元、住房公积金175.92 万元、绩效工资356.29万元。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91.25 万元，主要包括：办公费10.26万元、水费 5.53万元、电费 7.31万元、邮电费3.35 万元、取暖费2.41 万元、差旅费 7.82万元、培训费12.19万元、维修（维护）费0.3万元、专用材料费 0.58万元、工会经费 11.06万元、福利费25.43万元、公务用车运行维护费 4.54 万元、其他商品和服务支出 0.47万元等</w:t>
      </w:r>
    </w:p>
    <w:p>
      <w:pPr>
        <w:widowControl/>
        <w:numPr>
          <w:ilvl w:val="0"/>
          <w:numId w:val="2"/>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关于南纬路片区管委会2019年项目支出情况说明</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1、项目名称：伙食补助</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年预算单位核定标准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预算安排规模：129.16万元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资金分配情况：按照在编干部及公益性岗位社工就餐人数分配至片区管委会和社区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2、项目名称：社区经费</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预算安排规模：470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项目承担单位：南纬路片区所辖 11 个社区工作委员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资金分配情况：重点社区 50 万元/年，一般社区 40 万元/年，2019 年南纬路片区重点社区3个，一般社区 8个</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3、项目名称：包户业绩考核</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预算安排规模：87.04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资金分配情况：社区包户人员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补贴人数：243 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补贴标准：社区书记、主任 500 元/月，一般社区包户人员 300元/月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补贴范围：社区所有包户人员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发放程序：逐级审批发放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受益人群和社会效益：社区包户人员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4、项目名称：楼栋长津贴 </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预算安排规模：46.82万元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资金分配情况：按照社区楼栋长人数</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补贴人数：414人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补贴标准：楼栋长 100 元/月，单元长 50 元/月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补贴范围：社区楼栋长、单元长</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发放程序：逐级审批发放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受益人群和社会效益：社区楼栋长、单元长</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5、项目名称：基层岗位补贴 </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预算安排规模：59.38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资金分配情况：按照管委会、社区在岗人员分配</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补贴人数：468人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补贴标准：管委会党政正职 400 元/月、党政副职 200 元/月、社区书记、主任 200 元/月，其他基层人员 100 元/月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补贴范围：管委会、社区基层工作人员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发放程序：逐级审批发放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受益人群和社会效益：管委会、社区基层工作人员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6、项目名称：巡逻防控队员工资、社保 </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预算安排规模：1325.48万元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资金分配情况：按照便民警务站巡逻防控队员人数</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补贴人数：253人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补贴标准：3500 元/人/月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补贴范围：便民警务站巡逻防控队员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发放程序：逐级审批发放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受益人群和社会效益：便民警务站巡逻防控队员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7、项目名称：便民警务站经费</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预算安排规模：107.92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项目承担单位：南纬路片区所辖 16个便民警务站</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资金分配情况：便民警务站 一类、二类、三类站67450元/年</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numPr>
          <w:ilvl w:val="0"/>
          <w:numId w:val="3"/>
        </w:numPr>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项目名称：便民警务站餐费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设立的政策依据：2019年财政预算标准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预算安排规模：275.94万元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项目承担单位：南纬路片区所辖16个便民警务站3个子站</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资金分配情况：便民警务站一类站220500元/年，二类站185220元/年，三类站141120元/年，子站50400元/年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资金执行时间：2019年1月-12月</w:t>
      </w:r>
    </w:p>
    <w:p>
      <w:pPr>
        <w:widowControl/>
        <w:numPr>
          <w:ilvl w:val="0"/>
          <w:numId w:val="3"/>
        </w:numPr>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项目名称：便民警务站服装费</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设立的政策依据：2019年财政预算标准</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预算安排规模：77.33万元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项目承担单位：南纬路片区所辖16个便民警务站3个子站</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资金分配情况：便民警务站一类站46668元/年，二类</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站40852元/年，三类站35016元/年，子站8754元/年</w:t>
      </w:r>
    </w:p>
    <w:p>
      <w:pPr>
        <w:widowControl/>
        <w:numPr>
          <w:ilvl w:val="0"/>
          <w:numId w:val="3"/>
        </w:numPr>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项目名称：便民警务站装备费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设立的政策依据：2019年财政预算标准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预算安排规模：23.8万元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项目承担单位：南纬路片区所辖16个便民警务站3个子站</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资金分配情况：便民警务站一类、二类、三类14875元/年</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11、项目名称：巡逻员工资 </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预算安排规模：341.58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资金分配情况：管委会、社区巡逻队员、未签订用工协议警务站巡控队员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补贴人数：405人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补贴标准：一般社区巡逻员 58 元/天，重点社区巡逻员 60 元/天，警务站巡控队员 125 元/天</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补贴范围：管委会、社区巡逻队员、未签订用工协议警务站巡控队员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发放程序：逐级审批发放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受益人群和社会效益：管委会、社区巡逻队员、未签订用工协议警务站巡控队员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12、项目名称：非在编人员补贴 （公岗）</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预算安排规模：171.6万元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资金分配情况：管委会、社区非在编人员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 347人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补贴标准：优秀人员 1000 元/月，一般人员 800 元/月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补贴范围：管委会、社区非在编人员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发放程序：逐级审批发放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受益人群和社会效益：管委会、社区非在编人员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13、项目名称：非在编人员补贴 （巡逻队员）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预算安排规模：233.12万元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资金分配情况：便民警务站巡逻队员</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补贴人数：167人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补贴标准：优秀人员 1000 元/月，一般人员 800 元/月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发放程序：逐级审批发放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受益人群和社会效益：管委会、社区非在编人员</w:t>
      </w:r>
    </w:p>
    <w:p>
      <w:pPr>
        <w:widowControl/>
        <w:numPr>
          <w:ilvl w:val="0"/>
          <w:numId w:val="4"/>
        </w:numPr>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项目名称：工作经费</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 年财政预算标准</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预算安排规模：100万元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资金分配情况：管委会机关</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 年 1 月-12 月</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numPr>
          <w:ilvl w:val="0"/>
          <w:numId w:val="4"/>
        </w:numPr>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项目名称：公岗人员工作费</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设立的政策依据：2019年财政预算标准</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预算安排规模：43.73万元</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项目承担单位：南纬路片区管委会</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资金分配情况：管委会机关、社区</w:t>
      </w:r>
    </w:p>
    <w:p>
      <w:pPr>
        <w:widowControl/>
        <w:spacing w:line="580" w:lineRule="exact"/>
        <w:ind w:left="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补贴标准：管委会和社区公岗人数152人，标准是2877元/人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八、关于南纬路片区管委会2019年一般公共预算“三公”经费预算情况说明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 （新市区）南纬路片区管委会 2019 年“三公”经费财政拨款预算数为 4.54 万元，其中：因公出国（境）费 0 万元，公务用车购置 0 万元，公务用车运行费 4.54 万元，公务接待费 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 年“三公”经费财政拨款预算比上年减少0万元，其中：因公出国（境）费增加 0 万元，主要原因是与上年一致，未安排预算；公务用车购置费为 0，主要原因是与上年一致，未安排预算；公务用车运行费减少0万元，主要原因是与上年一致；公务接待费增加 0 万元，主要原因是与上年一致，未安排预算。</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九、关于南纬路片区管理委员会2019年政府性基金预算拨款情况说明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 （新市区）南纬路片区管委会 2019 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 （新市区）南纬路片区管委会及下属 0家行政单位、 0家参公管理事业单位和 0家事业单位的机关运行经费财政拨款预算 91.25 万元，比上年预算增加6.11 万元，增长7.18%，主要原因是人员办公经费增加。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 （新市区）南纬路路片区管委会政府采购预算0 万元，其中：政府采购货物预算 0 万元，政府采购工程预算 0 万元，政府采购服务预算 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 年度，本部门面向中小企业预留政府采购项目预算金额 0 万元，其中：面向小微企业预留政府采购项目预算金额 0 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截至2019年底，南纬路片区管委会及下属各预算单位占用使用国有资产总体情况为</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6014.49 平方米，价值 1478.63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19 辆，价值 168.83 万元；其中：一般公务用车 2 辆，价值 24.98 万元；执法执勤用车 17 辆，价值 143.85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82.91 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426.56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0台（套），单位价值100万元以上大型设备 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0万元），安排购置50万元以上大型设备 0台（套），单位价值100万元以上大型设备 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15个，涉及预算金额 3492.9 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878" w:type="dxa"/>
        <w:tblInd w:w="188" w:type="dxa"/>
        <w:tblLayout w:type="fixed"/>
        <w:tblCellMar>
          <w:top w:w="0" w:type="dxa"/>
          <w:left w:w="108" w:type="dxa"/>
          <w:bottom w:w="0" w:type="dxa"/>
          <w:right w:w="108" w:type="dxa"/>
        </w:tblCellMar>
      </w:tblPr>
      <w:tblGrid>
        <w:gridCol w:w="13878"/>
      </w:tblGrid>
      <w:tr>
        <w:tblPrEx>
          <w:tblLayout w:type="fixed"/>
          <w:tblCellMar>
            <w:top w:w="0" w:type="dxa"/>
            <w:left w:w="108" w:type="dxa"/>
            <w:bottom w:w="0" w:type="dxa"/>
            <w:right w:w="108" w:type="dxa"/>
          </w:tblCellMar>
        </w:tblPrEx>
        <w:trPr>
          <w:trHeight w:val="406" w:hRule="atLeast"/>
        </w:trPr>
        <w:tc>
          <w:tcPr>
            <w:tcW w:w="13878" w:type="dxa"/>
            <w:tcBorders>
              <w:top w:val="nil"/>
              <w:left w:val="nil"/>
              <w:bottom w:val="nil"/>
              <w:right w:val="nil"/>
            </w:tcBorders>
            <w:shd w:val="clear" w:color="auto" w:fill="auto"/>
            <w:noWrap/>
            <w:vAlign w:val="bottom"/>
          </w:tcPr>
          <w:tbl>
            <w:tblPr>
              <w:tblStyle w:val="7"/>
              <w:tblW w:w="13878" w:type="dxa"/>
              <w:tblInd w:w="188" w:type="dxa"/>
              <w:tblLayout w:type="fixed"/>
              <w:tblCellMar>
                <w:top w:w="0" w:type="dxa"/>
                <w:left w:w="108" w:type="dxa"/>
                <w:bottom w:w="0" w:type="dxa"/>
                <w:right w:w="108" w:type="dxa"/>
              </w:tblCellMar>
            </w:tblPr>
            <w:tblGrid>
              <w:gridCol w:w="2100"/>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工作经费</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片区工作经费到位率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科室数量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片区下设4个科室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9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105"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包户业绩考核</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87.04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87.04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243人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43.73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43.73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区聘56人，市聘96人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伙食补助</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129.16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129.16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干部124人，区聘56人，市聘96人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基层岗贴</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59.38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59.38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468人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楼栋长津贴</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46.82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46.82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414人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现金发放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社区经费</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11个社区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便民警务站餐费</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275.94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275.94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16个警务站，3个子站</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便民警务站服装费</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77.33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77.33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支付形式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财政直接支付</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16个警务站，3个子站</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便民警务站运行费</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107.92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107.92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16个警务站，3个子站</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便民警务站装备费</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23.8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23.8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16个警务站，3个子站</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非在编补贴（公岗）</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171.6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171.6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152人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非在编补贴（巡逻队员）</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233.12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233.12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253人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341.58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341.58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167人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南纬路片区管理委员会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巡逻员工资（巡逻防控队员工资、社保）</w:t>
                  </w:r>
                </w:p>
              </w:tc>
            </w:tr>
            <w:tr>
              <w:tblPrEx>
                <w:tblLayout w:type="fixed"/>
                <w:tblCellMar>
                  <w:top w:w="0" w:type="dxa"/>
                  <w:left w:w="108" w:type="dxa"/>
                  <w:bottom w:w="0" w:type="dxa"/>
                  <w:right w:w="108" w:type="dxa"/>
                </w:tblCellMar>
              </w:tblPrEx>
              <w:trPr>
                <w:trHeight w:val="45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1325.48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1325.48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247人</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878"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p>
              </w:tc>
            </w:tr>
          </w:tbl>
          <w:p>
            <w:pPr>
              <w:widowControl/>
              <w:jc w:val="center"/>
              <w:outlineLvl w:val="1"/>
              <w:rPr>
                <w:rFonts w:ascii="宋体" w:hAnsi="宋体" w:cs="宋体"/>
                <w:b/>
                <w:bCs/>
                <w:kern w:val="0"/>
                <w:sz w:val="32"/>
                <w:szCs w:val="32"/>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rPr>
          <w:rFonts w:ascii="仿宋_GB2312" w:eastAsia="仿宋_GB2312"/>
          <w:b/>
          <w:szCs w:val="20"/>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left="2234" w:leftChars="1064" w:firstLine="1120" w:firstLineChars="3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乌鲁木齐高新技术产业开发</w:t>
      </w:r>
    </w:p>
    <w:p>
      <w:pPr>
        <w:widowControl/>
        <w:spacing w:line="560" w:lineRule="exact"/>
        <w:ind w:left="2235" w:leftChars="912" w:hanging="320" w:hangingChars="1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（乌鲁木齐市新市区）南纬路片区管理委员会</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Defaul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D554C"/>
    <w:multiLevelType w:val="singleLevel"/>
    <w:tmpl w:val="979D554C"/>
    <w:lvl w:ilvl="0" w:tentative="0">
      <w:start w:val="1"/>
      <w:numFmt w:val="chineseCounting"/>
      <w:suff w:val="nothing"/>
      <w:lvlText w:val="%1、"/>
      <w:lvlJc w:val="left"/>
      <w:pPr>
        <w:ind w:left="640" w:firstLine="0"/>
      </w:pPr>
      <w:rPr>
        <w:rFonts w:hint="eastAsia"/>
      </w:rPr>
    </w:lvl>
  </w:abstractNum>
  <w:abstractNum w:abstractNumId="1">
    <w:nsid w:val="C61EDA2D"/>
    <w:multiLevelType w:val="singleLevel"/>
    <w:tmpl w:val="C61EDA2D"/>
    <w:lvl w:ilvl="0" w:tentative="0">
      <w:start w:val="14"/>
      <w:numFmt w:val="decimal"/>
      <w:suff w:val="nothing"/>
      <w:lvlText w:val="%1、"/>
      <w:lvlJc w:val="left"/>
    </w:lvl>
  </w:abstractNum>
  <w:abstractNum w:abstractNumId="2">
    <w:nsid w:val="CFCEB5A3"/>
    <w:multiLevelType w:val="singleLevel"/>
    <w:tmpl w:val="CFCEB5A3"/>
    <w:lvl w:ilvl="0" w:tentative="0">
      <w:start w:val="8"/>
      <w:numFmt w:val="decimal"/>
      <w:suff w:val="nothing"/>
      <w:lvlText w:val="%1、"/>
      <w:lvlJc w:val="left"/>
    </w:lvl>
  </w:abstractNum>
  <w:abstractNum w:abstractNumId="3">
    <w:nsid w:val="7BC681F1"/>
    <w:multiLevelType w:val="singleLevel"/>
    <w:tmpl w:val="7BC681F1"/>
    <w:lvl w:ilvl="0" w:tentative="0">
      <w:start w:val="7"/>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413A4"/>
    <w:rsid w:val="00117C63"/>
    <w:rsid w:val="001533CF"/>
    <w:rsid w:val="001B5A87"/>
    <w:rsid w:val="00243B40"/>
    <w:rsid w:val="00263FF9"/>
    <w:rsid w:val="00285014"/>
    <w:rsid w:val="002964AF"/>
    <w:rsid w:val="002A0B86"/>
    <w:rsid w:val="002B5144"/>
    <w:rsid w:val="00325B17"/>
    <w:rsid w:val="0049168B"/>
    <w:rsid w:val="004B1EFC"/>
    <w:rsid w:val="005413BE"/>
    <w:rsid w:val="005B3474"/>
    <w:rsid w:val="005C4D7A"/>
    <w:rsid w:val="00644A14"/>
    <w:rsid w:val="0066768B"/>
    <w:rsid w:val="006E1927"/>
    <w:rsid w:val="006F2164"/>
    <w:rsid w:val="007271EB"/>
    <w:rsid w:val="007327E6"/>
    <w:rsid w:val="00773FF0"/>
    <w:rsid w:val="008C4274"/>
    <w:rsid w:val="008F3F12"/>
    <w:rsid w:val="00903081"/>
    <w:rsid w:val="0094473E"/>
    <w:rsid w:val="00961785"/>
    <w:rsid w:val="009970A0"/>
    <w:rsid w:val="009F333B"/>
    <w:rsid w:val="00A67364"/>
    <w:rsid w:val="00AA27D2"/>
    <w:rsid w:val="00B130FF"/>
    <w:rsid w:val="00B87B30"/>
    <w:rsid w:val="00B916F7"/>
    <w:rsid w:val="00BA44D4"/>
    <w:rsid w:val="00BB2FB1"/>
    <w:rsid w:val="00C66AD4"/>
    <w:rsid w:val="00CB39DD"/>
    <w:rsid w:val="00CB689C"/>
    <w:rsid w:val="00DB0B4B"/>
    <w:rsid w:val="00E156D4"/>
    <w:rsid w:val="00E823AD"/>
    <w:rsid w:val="00ED1293"/>
    <w:rsid w:val="00EE5B28"/>
    <w:rsid w:val="00FC229F"/>
    <w:rsid w:val="00FC6ABD"/>
    <w:rsid w:val="00FE0240"/>
    <w:rsid w:val="022E73F8"/>
    <w:rsid w:val="058E6DA9"/>
    <w:rsid w:val="0ACE46FB"/>
    <w:rsid w:val="0BF2657B"/>
    <w:rsid w:val="11F652F5"/>
    <w:rsid w:val="1722168D"/>
    <w:rsid w:val="1D320661"/>
    <w:rsid w:val="34AE75A2"/>
    <w:rsid w:val="36BD761F"/>
    <w:rsid w:val="3A6E0DBA"/>
    <w:rsid w:val="41EF14B1"/>
    <w:rsid w:val="424D0EAA"/>
    <w:rsid w:val="425517E2"/>
    <w:rsid w:val="44170D0D"/>
    <w:rsid w:val="477C4F69"/>
    <w:rsid w:val="4E057748"/>
    <w:rsid w:val="57C55309"/>
    <w:rsid w:val="58475054"/>
    <w:rsid w:val="59155E32"/>
    <w:rsid w:val="5C1F026F"/>
    <w:rsid w:val="61B23EA7"/>
    <w:rsid w:val="67C3528B"/>
    <w:rsid w:val="6AC314CD"/>
    <w:rsid w:val="6B6D5DD3"/>
    <w:rsid w:val="6EA176C9"/>
    <w:rsid w:val="6EF0507A"/>
    <w:rsid w:val="6F2A376A"/>
    <w:rsid w:val="7104283A"/>
    <w:rsid w:val="775C0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4160</Words>
  <Characters>23714</Characters>
  <Lines>197</Lines>
  <Paragraphs>55</Paragraphs>
  <TotalTime>64</TotalTime>
  <ScaleCrop>false</ScaleCrop>
  <LinksUpToDate>false</LinksUpToDate>
  <CharactersWithSpaces>27819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Dell</cp:lastModifiedBy>
  <cp:lastPrinted>2019-03-04T04:15:00Z</cp:lastPrinted>
  <dcterms:modified xsi:type="dcterms:W3CDTF">2019-08-16T12:38:54Z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