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高新区（新市区）工商联</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工商联概况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一、关于工商联2019年收支预算情况的总体说明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二、关于工商联2019年收入预算情况说明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三、关于工商联2019年支出预算情况说明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工商联2019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五、关于工商联2019年一般公共预算当年拨款情况说明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六、关于工商联2019年一般公共预算基本支出情况说明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七、关于工商联2019年项目支出情况说明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八、关于工商联2019年一般公共预算“三公”经费预算情况说明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九、关于工商联2019年政府性基金预算拨款情况说明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工商联概况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高新区（新市区）工商业联合会是中共乌鲁木齐高新技术产业开发区（乌鲁木齐市新市区）委员会领导的以非公有制企业和非公有制经济人士为主体的人民团体。</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主要职能</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1.贯彻执行党和国家、自治区及乌鲁木齐市有关高新区（新市区）工商联工作的方针、政策和法律、法规；编制高新区（新市区）工商联工作规划并组织实施。</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2.依据《中华全国工商业联合会章程》，贯彻执行区高新区（新市区）工商联执委会、常委会决议。</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3.加强和改进非公有制经济人士思想政治工作，团结、服务、引导、教育非公有制经济人士爱国、敬业、诚信、守法、贡献，培养拥护党的领导、走中国特色社会主义道路的非公有制经济人士队伍宣传表彰先进典型。</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4.做好履行政治协商、民主监督、参政议政有关工作；参与我区有关地方性法规、规章和政策的制定并贯彻执行，向区委、区政府提出相关意见和建议；做好非公有制经济代表人士政治安排推荐及参与政治生活、社会事务有关工作。</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5.协助政府管理和服务非公有制经济；为非公有制企业提供信息、法律、融资、技术、人才等方面的服务；做好与国内外工商界的联系、交流，推动经贸交流和协作。</w:t>
      </w:r>
    </w:p>
    <w:p>
      <w:pPr>
        <w:widowControl/>
        <w:spacing w:line="56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6.促进行业协会商会改革发展，指导和推动商会组织完善法人治理结构、规范内部管理、依照法律和章程开展活动。</w:t>
      </w:r>
    </w:p>
    <w:p>
      <w:pPr>
        <w:widowControl/>
        <w:spacing w:line="560" w:lineRule="exact"/>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7.参与协调劳动关系，促进社会和谐；会同有关部门推动劳动关系协调机制建设，研究解决劳动关系中的重大问题和调处劳动争议。</w:t>
      </w:r>
      <w:r>
        <w:rPr>
          <w:rFonts w:hint="eastAsia" w:ascii="仿宋_GB2312" w:hAnsi="宋体" w:eastAsia="仿宋_GB2312" w:cs="宋体"/>
          <w:kern w:val="0"/>
          <w:sz w:val="32"/>
          <w:szCs w:val="32"/>
        </w:rPr>
        <w:t xml:space="preserve">　 </w:t>
      </w:r>
    </w:p>
    <w:p>
      <w:pPr>
        <w:widowControl/>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工商联无下属预算单位，</w:t>
      </w:r>
      <w:r>
        <w:rPr>
          <w:rFonts w:hint="eastAsia" w:ascii="仿宋_GB2312" w:hAnsi="宋体" w:eastAsia="仿宋_GB2312" w:cs="宋体"/>
          <w:kern w:val="0"/>
          <w:sz w:val="32"/>
          <w:szCs w:val="32"/>
        </w:rPr>
        <w:t>无下设处室</w:t>
      </w:r>
    </w:p>
    <w:p>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工商联</w:t>
      </w:r>
      <w:r>
        <w:rPr>
          <w:rFonts w:hint="eastAsia" w:ascii="仿宋_GB2312" w:hAnsi="宋体" w:eastAsia="仿宋_GB2312" w:cs="宋体"/>
          <w:kern w:val="0"/>
          <w:sz w:val="32"/>
          <w:szCs w:val="32"/>
        </w:rPr>
        <w:t>编制数 2，实有人数 2人，其中：在职2 人，增加0人； 退休1人，增加0人；离休 0 人，增加0人。</w:t>
      </w: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7880" w:type="dxa"/>
        <w:tblInd w:w="93" w:type="dxa"/>
        <w:tblLayout w:type="fixed"/>
        <w:tblCellMar>
          <w:top w:w="0" w:type="dxa"/>
          <w:left w:w="108" w:type="dxa"/>
          <w:bottom w:w="0" w:type="dxa"/>
          <w:right w:w="108" w:type="dxa"/>
        </w:tblCellMar>
      </w:tblPr>
      <w:tblGrid>
        <w:gridCol w:w="2120"/>
        <w:gridCol w:w="1640"/>
        <w:gridCol w:w="2560"/>
        <w:gridCol w:w="1560"/>
      </w:tblGrid>
      <w:tr>
        <w:tblPrEx>
          <w:tblLayout w:type="fixed"/>
          <w:tblCellMar>
            <w:top w:w="0" w:type="dxa"/>
            <w:left w:w="108" w:type="dxa"/>
            <w:bottom w:w="0" w:type="dxa"/>
            <w:right w:w="108" w:type="dxa"/>
          </w:tblCellMar>
        </w:tblPrEx>
        <w:trPr>
          <w:trHeight w:val="435" w:hRule="atLeast"/>
        </w:trPr>
        <w:tc>
          <w:tcPr>
            <w:tcW w:w="2120" w:type="dxa"/>
            <w:tcBorders>
              <w:top w:val="nil"/>
              <w:left w:val="nil"/>
              <w:bottom w:val="nil"/>
              <w:right w:val="nil"/>
            </w:tcBorders>
            <w:shd w:val="clear" w:color="000000" w:fill="FFFFFF"/>
            <w:vAlign w:val="center"/>
          </w:tcPr>
          <w:p>
            <w:pPr>
              <w:widowControl/>
              <w:jc w:val="left"/>
              <w:rPr>
                <w:rFonts w:hint="eastAsia" w:ascii="Default" w:hAnsi="Default" w:cs="Arial"/>
                <w:b/>
                <w:bCs/>
                <w:kern w:val="0"/>
                <w:sz w:val="28"/>
                <w:szCs w:val="28"/>
              </w:rPr>
            </w:pPr>
            <w:r>
              <w:rPr>
                <w:rFonts w:ascii="Default" w:hAnsi="Default" w:cs="Arial"/>
                <w:b/>
                <w:bCs/>
                <w:kern w:val="0"/>
                <w:sz w:val="28"/>
                <w:szCs w:val="28"/>
              </w:rPr>
              <w:t xml:space="preserve">  表一：</w:t>
            </w:r>
          </w:p>
        </w:tc>
        <w:tc>
          <w:tcPr>
            <w:tcW w:w="164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6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7880" w:type="dxa"/>
            <w:gridSpan w:val="4"/>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7880" w:type="dxa"/>
            <w:gridSpan w:val="4"/>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435" w:hRule="atLeast"/>
        </w:trPr>
        <w:tc>
          <w:tcPr>
            <w:tcW w:w="632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编制部门:工商联</w:t>
            </w:r>
          </w:p>
        </w:tc>
        <w:tc>
          <w:tcPr>
            <w:tcW w:w="1560"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435" w:hRule="atLeast"/>
        </w:trPr>
        <w:tc>
          <w:tcPr>
            <w:tcW w:w="376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收     入</w:t>
            </w:r>
          </w:p>
        </w:tc>
        <w:tc>
          <w:tcPr>
            <w:tcW w:w="412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435"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164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c>
          <w:tcPr>
            <w:tcW w:w="256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56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65.09</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教育收费（财政专户）</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事业收入</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事业单位经营收入</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其他收入</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用事业基金弥补收支差额</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r>
      <w:tr>
        <w:tblPrEx>
          <w:tblLayout w:type="fixed"/>
          <w:tblCellMar>
            <w:top w:w="0" w:type="dxa"/>
            <w:left w:w="108" w:type="dxa"/>
            <w:bottom w:w="0" w:type="dxa"/>
            <w:right w:w="108" w:type="dxa"/>
          </w:tblCellMar>
        </w:tblPrEx>
        <w:trPr>
          <w:trHeight w:val="78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12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64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5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5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tbl>
      <w:tblPr>
        <w:tblStyle w:val="7"/>
        <w:tblW w:w="7940" w:type="dxa"/>
        <w:tblInd w:w="93" w:type="dxa"/>
        <w:tblLayout w:type="fixed"/>
        <w:tblCellMar>
          <w:top w:w="0" w:type="dxa"/>
          <w:left w:w="108" w:type="dxa"/>
          <w:bottom w:w="0" w:type="dxa"/>
          <w:right w:w="108" w:type="dxa"/>
        </w:tblCellMar>
      </w:tblPr>
      <w:tblGrid>
        <w:gridCol w:w="577"/>
        <w:gridCol w:w="573"/>
        <w:gridCol w:w="457"/>
        <w:gridCol w:w="1107"/>
        <w:gridCol w:w="852"/>
        <w:gridCol w:w="868"/>
        <w:gridCol w:w="416"/>
        <w:gridCol w:w="537"/>
        <w:gridCol w:w="435"/>
        <w:gridCol w:w="416"/>
        <w:gridCol w:w="435"/>
        <w:gridCol w:w="549"/>
        <w:gridCol w:w="718"/>
      </w:tblGrid>
      <w:tr>
        <w:tblPrEx>
          <w:tblLayout w:type="fixed"/>
          <w:tblCellMar>
            <w:top w:w="0" w:type="dxa"/>
            <w:left w:w="108" w:type="dxa"/>
            <w:bottom w:w="0" w:type="dxa"/>
            <w:right w:w="108" w:type="dxa"/>
          </w:tblCellMar>
        </w:tblPrEx>
        <w:trPr>
          <w:trHeight w:val="435" w:hRule="atLeast"/>
        </w:trPr>
        <w:tc>
          <w:tcPr>
            <w:tcW w:w="1607" w:type="dxa"/>
            <w:gridSpan w:val="3"/>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表二：</w:t>
            </w:r>
          </w:p>
        </w:tc>
        <w:tc>
          <w:tcPr>
            <w:tcW w:w="1107"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5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6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810" w:hRule="atLeast"/>
        </w:trPr>
        <w:tc>
          <w:tcPr>
            <w:tcW w:w="6238" w:type="dxa"/>
            <w:gridSpan w:val="10"/>
            <w:tcBorders>
              <w:top w:val="nil"/>
              <w:left w:val="nil"/>
              <w:bottom w:val="nil"/>
              <w:right w:val="nil"/>
            </w:tcBorders>
            <w:shd w:val="clear" w:color="000000" w:fill="FFFFFF"/>
            <w:vAlign w:val="center"/>
          </w:tcPr>
          <w:p>
            <w:pPr>
              <w:widowControl/>
              <w:jc w:val="center"/>
              <w:rPr>
                <w:rFonts w:hint="eastAsia" w:ascii="Default" w:hAnsi="Default" w:cs="Arial"/>
                <w:b/>
                <w:bCs/>
                <w:kern w:val="0"/>
                <w:sz w:val="30"/>
                <w:szCs w:val="30"/>
              </w:rPr>
            </w:pPr>
            <w:r>
              <w:rPr>
                <w:rFonts w:ascii="Default" w:hAnsi="Default" w:cs="Arial"/>
                <w:b/>
                <w:bCs/>
                <w:kern w:val="0"/>
                <w:sz w:val="30"/>
                <w:szCs w:val="30"/>
              </w:rPr>
              <w:t>部门收入总体情况表</w:t>
            </w:r>
          </w:p>
        </w:tc>
        <w:tc>
          <w:tcPr>
            <w:tcW w:w="43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435" w:hRule="atLeast"/>
        </w:trPr>
        <w:tc>
          <w:tcPr>
            <w:tcW w:w="6238" w:type="dxa"/>
            <w:gridSpan w:val="10"/>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填报部门:工商联</w:t>
            </w:r>
          </w:p>
        </w:tc>
        <w:tc>
          <w:tcPr>
            <w:tcW w:w="435"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67"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435"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110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预算单位</w:t>
            </w:r>
          </w:p>
        </w:tc>
        <w:tc>
          <w:tcPr>
            <w:tcW w:w="85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总计</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一般公共预算拨款</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政府性基金预算</w:t>
            </w:r>
          </w:p>
        </w:tc>
        <w:tc>
          <w:tcPr>
            <w:tcW w:w="53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教育收费(财政专户)</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事业收入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Default" w:hAnsi="Default" w:cs="Arial"/>
                <w:kern w:val="0"/>
                <w:sz w:val="20"/>
                <w:szCs w:val="20"/>
              </w:rPr>
            </w:pPr>
            <w:r>
              <w:rPr>
                <w:rFonts w:ascii="Default" w:hAnsi="Default" w:cs="Arial"/>
                <w:kern w:val="0"/>
                <w:sz w:val="20"/>
                <w:szCs w:val="20"/>
              </w:rPr>
              <w:t>事业单位经营收入</w:t>
            </w:r>
          </w:p>
        </w:tc>
        <w:tc>
          <w:tcPr>
            <w:tcW w:w="435"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其他收入</w:t>
            </w:r>
          </w:p>
        </w:tc>
        <w:tc>
          <w:tcPr>
            <w:tcW w:w="549"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用事业基金弥补收支差额</w:t>
            </w:r>
          </w:p>
        </w:tc>
        <w:tc>
          <w:tcPr>
            <w:tcW w:w="71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2190" w:hRule="atLeast"/>
        </w:trPr>
        <w:tc>
          <w:tcPr>
            <w:tcW w:w="577"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573"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457"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1107"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852"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8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537"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35"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5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718"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工商联</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208</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社会保障和就业支出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行政事业单位离退休</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机关事业单位基本养老保险缴费支出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204</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公共安全支出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201</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一般公共服务支出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65.09</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65.09</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29</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群众团体事务</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10.00</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10.00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29</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一般行政管理事务</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10.00</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10.00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28</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民主党派及工商联事务</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55.09</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55.09</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28</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其他民主党派及工商联事务支出</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0.28</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0.28</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28</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行政运行</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54.81</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54.81</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85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86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77"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3"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0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5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6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3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35"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4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71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cs="宋体"/>
          <w:color w:val="000000"/>
          <w:kern w:val="0"/>
          <w:sz w:val="24"/>
        </w:rPr>
        <w:t>区工商联</w:t>
      </w:r>
      <w:r>
        <w:rPr>
          <w:rFonts w:hint="eastAsia" w:ascii="仿宋_GB2312" w:hAnsi="宋体" w:eastAsia="仿宋_GB2312"/>
          <w:kern w:val="0"/>
          <w:sz w:val="24"/>
        </w:rPr>
        <w:t xml:space="preserve">                                               单位：万元</w:t>
      </w:r>
    </w:p>
    <w:tbl>
      <w:tblPr>
        <w:tblStyle w:val="7"/>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总计:</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73.90</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61.74</w:t>
            </w: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工商联</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73.90</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61.74</w:t>
            </w: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12.16</w:t>
            </w:r>
          </w:p>
        </w:tc>
      </w:tr>
      <w:tr>
        <w:tblPrEx>
          <w:tblLayout w:type="fixed"/>
          <w:tblCellMar>
            <w:top w:w="0" w:type="dxa"/>
            <w:left w:w="108" w:type="dxa"/>
            <w:bottom w:w="0" w:type="dxa"/>
            <w:right w:w="108" w:type="dxa"/>
          </w:tblCellMar>
        </w:tblPrEx>
        <w:trPr>
          <w:trHeight w:val="8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201</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一般公共服务支出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65.09</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52.93</w:t>
            </w: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12.16</w:t>
            </w:r>
          </w:p>
        </w:tc>
      </w:tr>
      <w:tr>
        <w:tblPrEx>
          <w:tblLayout w:type="fixed"/>
          <w:tblCellMar>
            <w:top w:w="0" w:type="dxa"/>
            <w:left w:w="108" w:type="dxa"/>
            <w:bottom w:w="0" w:type="dxa"/>
            <w:right w:w="108" w:type="dxa"/>
          </w:tblCellMar>
        </w:tblPrEx>
        <w:trPr>
          <w:trHeight w:val="706"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201</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28</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民主党派及工商联事务</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55.09</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52.93</w:t>
            </w: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201</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28</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01</w:t>
            </w: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行政运行</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54.81</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52.65</w:t>
            </w: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201</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28</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99</w:t>
            </w: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其他民主党派及工商联事务支出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0.28</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0.28</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201</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29</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群众团体事务</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10.00</w:t>
            </w:r>
          </w:p>
        </w:tc>
        <w:tc>
          <w:tcPr>
            <w:tcW w:w="1856"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10.00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201</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29</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02</w:t>
            </w: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一般行政管理事务</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10.00</w:t>
            </w:r>
          </w:p>
        </w:tc>
        <w:tc>
          <w:tcPr>
            <w:tcW w:w="1856"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c>
          <w:tcPr>
            <w:tcW w:w="1713"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2"/>
              </w:rPr>
              <w:t>10.00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204</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公共安全支出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4.86</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4.86</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204</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99</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其他公共安全支出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4.86</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4.86</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204</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99</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01</w:t>
            </w: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其他公共安全支出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4.86</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4.86</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208</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社会保障和就业支出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3.95</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3.95</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208</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05</w:t>
            </w:r>
          </w:p>
        </w:tc>
        <w:tc>
          <w:tcPr>
            <w:tcW w:w="400" w:type="dxa"/>
            <w:tcBorders>
              <w:top w:val="nil"/>
              <w:left w:val="nil"/>
              <w:bottom w:val="single" w:color="auto" w:sz="4" w:space="0"/>
              <w:right w:val="single" w:color="auto" w:sz="4" w:space="0"/>
            </w:tcBorders>
            <w:shd w:val="clear" w:color="auto" w:fill="FFFFFF"/>
          </w:tcPr>
          <w:p>
            <w:pPr>
              <w:jc w:val="left"/>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行政事业单位离退休</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3.95</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3.95</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208</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 xml:space="preserve">      05</w:t>
            </w:r>
          </w:p>
        </w:tc>
        <w:tc>
          <w:tcPr>
            <w:tcW w:w="400" w:type="dxa"/>
            <w:tcBorders>
              <w:top w:val="nil"/>
              <w:left w:val="nil"/>
              <w:bottom w:val="single" w:color="auto" w:sz="4" w:space="0"/>
              <w:right w:val="single" w:color="auto" w:sz="4" w:space="0"/>
            </w:tcBorders>
            <w:shd w:val="clear" w:color="auto" w:fill="FFFFFF"/>
          </w:tcPr>
          <w:p>
            <w:pPr>
              <w:widowControl/>
              <w:jc w:val="left"/>
              <w:textAlignment w:val="top"/>
              <w:rPr>
                <w:rFonts w:ascii="宋体" w:hAnsi="宋体" w:cs="宋体"/>
                <w:b/>
                <w:bCs/>
                <w:color w:val="000000"/>
                <w:kern w:val="0"/>
                <w:sz w:val="16"/>
                <w:szCs w:val="16"/>
              </w:rPr>
            </w:pPr>
            <w:r>
              <w:rPr>
                <w:rFonts w:ascii="Default" w:hAnsi="Default" w:eastAsia="Default" w:cs="Default"/>
                <w:color w:val="000000"/>
                <w:kern w:val="0"/>
                <w:sz w:val="20"/>
                <w:szCs w:val="20"/>
              </w:rPr>
              <w:t>05</w:t>
            </w:r>
          </w:p>
        </w:tc>
        <w:tc>
          <w:tcPr>
            <w:tcW w:w="2604"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机关事业单位基本养老保险缴费支出</w:t>
            </w:r>
          </w:p>
        </w:tc>
        <w:tc>
          <w:tcPr>
            <w:tcW w:w="1855"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3.95</w:t>
            </w:r>
          </w:p>
        </w:tc>
        <w:tc>
          <w:tcPr>
            <w:tcW w:w="1856" w:type="dxa"/>
            <w:tcBorders>
              <w:top w:val="nil"/>
              <w:left w:val="nil"/>
              <w:bottom w:val="single" w:color="auto" w:sz="4" w:space="0"/>
              <w:right w:val="single" w:color="auto" w:sz="4" w:space="0"/>
            </w:tcBorders>
            <w:shd w:val="clear" w:color="auto" w:fill="FFFFFF"/>
          </w:tcPr>
          <w:p>
            <w:pPr>
              <w:widowControl/>
              <w:jc w:val="center"/>
              <w:textAlignment w:val="top"/>
              <w:rPr>
                <w:rFonts w:ascii="宋体" w:hAnsi="宋体" w:cs="宋体"/>
                <w:b/>
                <w:bCs/>
                <w:color w:val="000000"/>
                <w:kern w:val="0"/>
                <w:sz w:val="22"/>
                <w:szCs w:val="22"/>
              </w:rPr>
            </w:pPr>
            <w:r>
              <w:rPr>
                <w:rFonts w:ascii="Default" w:hAnsi="Default" w:eastAsia="Default" w:cs="Default"/>
                <w:color w:val="000000"/>
                <w:kern w:val="0"/>
                <w:sz w:val="22"/>
                <w:szCs w:val="20"/>
              </w:rPr>
              <w:t>3.95</w:t>
            </w:r>
          </w:p>
        </w:tc>
        <w:tc>
          <w:tcPr>
            <w:tcW w:w="1713" w:type="dxa"/>
            <w:tcBorders>
              <w:top w:val="nil"/>
              <w:left w:val="nil"/>
              <w:bottom w:val="single" w:color="auto" w:sz="4" w:space="0"/>
              <w:right w:val="single" w:color="auto" w:sz="4" w:space="0"/>
            </w:tcBorders>
            <w:shd w:val="clear" w:color="auto" w:fill="FFFFFF"/>
          </w:tcPr>
          <w:p>
            <w:pPr>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tbl>
      <w:tblPr>
        <w:tblStyle w:val="7"/>
        <w:tblW w:w="7960" w:type="dxa"/>
        <w:tblInd w:w="93" w:type="dxa"/>
        <w:tblLayout w:type="fixed"/>
        <w:tblCellMar>
          <w:top w:w="0" w:type="dxa"/>
          <w:left w:w="108" w:type="dxa"/>
          <w:bottom w:w="0" w:type="dxa"/>
          <w:right w:w="108" w:type="dxa"/>
        </w:tblCellMar>
      </w:tblPr>
      <w:tblGrid>
        <w:gridCol w:w="1740"/>
        <w:gridCol w:w="1120"/>
        <w:gridCol w:w="2440"/>
        <w:gridCol w:w="960"/>
        <w:gridCol w:w="1060"/>
        <w:gridCol w:w="640"/>
      </w:tblGrid>
      <w:tr>
        <w:tblPrEx>
          <w:tblLayout w:type="fixed"/>
          <w:tblCellMar>
            <w:top w:w="0" w:type="dxa"/>
            <w:left w:w="108" w:type="dxa"/>
            <w:bottom w:w="0" w:type="dxa"/>
            <w:right w:w="108" w:type="dxa"/>
          </w:tblCellMar>
        </w:tblPrEx>
        <w:trPr>
          <w:trHeight w:val="435" w:hRule="atLeast"/>
        </w:trPr>
        <w:tc>
          <w:tcPr>
            <w:tcW w:w="1740" w:type="dxa"/>
            <w:tcBorders>
              <w:top w:val="nil"/>
              <w:left w:val="nil"/>
              <w:bottom w:val="nil"/>
              <w:right w:val="nil"/>
            </w:tcBorders>
            <w:shd w:val="clear" w:color="000000" w:fill="FFFFFF"/>
            <w:vAlign w:val="center"/>
          </w:tcPr>
          <w:p>
            <w:pPr>
              <w:widowControl/>
              <w:jc w:val="left"/>
              <w:rPr>
                <w:rFonts w:hint="eastAsia" w:ascii="Default" w:hAnsi="Default" w:cs="Arial"/>
                <w:b/>
                <w:bCs/>
                <w:kern w:val="0"/>
                <w:sz w:val="24"/>
              </w:rPr>
            </w:pPr>
            <w:r>
              <w:rPr>
                <w:rFonts w:ascii="Default" w:hAnsi="Default" w:cs="Arial"/>
                <w:b/>
                <w:bCs/>
                <w:kern w:val="0"/>
                <w:sz w:val="24"/>
              </w:rPr>
              <w:t>表四：</w:t>
            </w:r>
          </w:p>
        </w:tc>
        <w:tc>
          <w:tcPr>
            <w:tcW w:w="112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6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7960" w:type="dxa"/>
            <w:gridSpan w:val="6"/>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7960" w:type="dxa"/>
            <w:gridSpan w:val="6"/>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435" w:hRule="atLeast"/>
        </w:trPr>
        <w:tc>
          <w:tcPr>
            <w:tcW w:w="530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填报部门:工商联</w:t>
            </w:r>
          </w:p>
        </w:tc>
        <w:tc>
          <w:tcPr>
            <w:tcW w:w="96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700"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435" w:hRule="atLeast"/>
        </w:trPr>
        <w:tc>
          <w:tcPr>
            <w:tcW w:w="286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财政拨款收入</w:t>
            </w:r>
          </w:p>
        </w:tc>
        <w:tc>
          <w:tcPr>
            <w:tcW w:w="5100"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435"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112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244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96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106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一般公共预算</w:t>
            </w:r>
          </w:p>
        </w:tc>
        <w:tc>
          <w:tcPr>
            <w:tcW w:w="640"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65.09</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65.09</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12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9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106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73.90</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1740"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9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6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编制部门：区工商联</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总计:</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73.90</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61.74</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工商联</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73.90</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61.74</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201</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一般公共服务支出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65.09</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52.93</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201</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28</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民主党派及工商联事务</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55.09</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52.93</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201</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28</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w:t>
            </w: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行政运行</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54.81</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52.65</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201</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28</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99</w:t>
            </w: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其他民主党派及工商联事务支出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0.28</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0.28</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557"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201</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29</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群众团体事务</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10.00</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10.00</w:t>
            </w:r>
          </w:p>
        </w:tc>
      </w:tr>
      <w:tr>
        <w:tblPrEx>
          <w:tblLayout w:type="fixed"/>
          <w:tblCellMar>
            <w:top w:w="0" w:type="dxa"/>
            <w:left w:w="108" w:type="dxa"/>
            <w:bottom w:w="0" w:type="dxa"/>
            <w:right w:w="108" w:type="dxa"/>
          </w:tblCellMar>
        </w:tblPrEx>
        <w:trPr>
          <w:trHeight w:val="641"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201</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29</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02</w:t>
            </w: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一般行政管理事务</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10.00</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10.00</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204</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公共安全支出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4.86</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4.86</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204</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99</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其他公共安全支出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4.86</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4.86</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204</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99</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w:t>
            </w: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其他公共安全支出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4.86</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4.86</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208</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社会保障和就业支出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208</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05</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0"/>
                <w:szCs w:val="20"/>
              </w:rPr>
            </w:pPr>
            <w:r>
              <w:rPr>
                <w:rFonts w:ascii="Default" w:hAnsi="Default" w:cs="Arial"/>
                <w:sz w:val="20"/>
                <w:szCs w:val="20"/>
              </w:rPr>
              <w:t xml:space="preserve">    208</w:t>
            </w:r>
          </w:p>
        </w:tc>
        <w:tc>
          <w:tcPr>
            <w:tcW w:w="492"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05</w:t>
            </w:r>
          </w:p>
        </w:tc>
        <w:tc>
          <w:tcPr>
            <w:tcW w:w="41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05</w:t>
            </w:r>
          </w:p>
        </w:tc>
        <w:tc>
          <w:tcPr>
            <w:tcW w:w="2510"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842"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编制部门：区工商联</w:t>
            </w:r>
          </w:p>
        </w:tc>
        <w:tc>
          <w:tcPr>
            <w:tcW w:w="995"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总计:</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61.74</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59.21</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2.53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038001-工商联</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61.74</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59.21</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2.53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工资福利支出</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54.35</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54.35</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基本工资</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10.38</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10.38</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02</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津贴补贴</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10.79</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10.79</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03</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奖金</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4.46</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4.46</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08</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3.95</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10</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1.78</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1.78</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11</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0.40</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0.40</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12</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其他社会保障缴费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0.16</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0.16</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13</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住房公积金</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3.62</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3.62</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301</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99</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其他工资福利支出</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18.81</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18.81</w:t>
            </w: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302</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商品和服务支出</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2.53</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2.53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302</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办公费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0.13</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302</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05</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水费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0.03</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0.03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302</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06</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电费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0.07</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0.07</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rPr>
                <w:rFonts w:hint="eastAsia" w:ascii="Default" w:hAnsi="Default" w:cs="Arial"/>
                <w:sz w:val="22"/>
                <w:szCs w:val="22"/>
              </w:rPr>
            </w:pPr>
            <w:r>
              <w:rPr>
                <w:rFonts w:ascii="Default" w:hAnsi="Default" w:cs="Arial"/>
                <w:sz w:val="22"/>
                <w:szCs w:val="22"/>
              </w:rPr>
              <w:t xml:space="preserve">    302</w:t>
            </w:r>
          </w:p>
        </w:tc>
        <w:tc>
          <w:tcPr>
            <w:tcW w:w="577"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07</w:t>
            </w:r>
          </w:p>
        </w:tc>
        <w:tc>
          <w:tcPr>
            <w:tcW w:w="289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邮电费</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0.11</w:t>
            </w:r>
          </w:p>
        </w:tc>
        <w:tc>
          <w:tcPr>
            <w:tcW w:w="1701" w:type="dxa"/>
            <w:gridSpan w:val="2"/>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p>
        </w:tc>
        <w:tc>
          <w:tcPr>
            <w:tcW w:w="1701" w:type="dxa"/>
            <w:tcBorders>
              <w:top w:val="nil"/>
              <w:left w:val="nil"/>
              <w:bottom w:val="single" w:color="auto" w:sz="4" w:space="0"/>
              <w:right w:val="single" w:color="auto" w:sz="4" w:space="0"/>
            </w:tcBorders>
            <w:shd w:val="clear" w:color="auto" w:fill="auto"/>
          </w:tcPr>
          <w:p>
            <w:pPr>
              <w:jc w:val="center"/>
              <w:rPr>
                <w:rFonts w:hint="eastAsia" w:ascii="Default" w:hAnsi="Default" w:cs="Arial"/>
                <w:sz w:val="22"/>
                <w:szCs w:val="22"/>
              </w:rPr>
            </w:pPr>
            <w:r>
              <w:rPr>
                <w:rFonts w:ascii="Default" w:hAnsi="Default" w:cs="Arial"/>
                <w:sz w:val="22"/>
                <w:szCs w:val="22"/>
              </w:rPr>
              <w:t>0.11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092"/>
        <w:gridCol w:w="992"/>
        <w:gridCol w:w="232"/>
        <w:gridCol w:w="193"/>
        <w:gridCol w:w="851"/>
        <w:gridCol w:w="850"/>
        <w:gridCol w:w="405"/>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编制部门：区工商联</w:t>
            </w:r>
          </w:p>
        </w:tc>
        <w:tc>
          <w:tcPr>
            <w:tcW w:w="1044"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33"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92"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99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25"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5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8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40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9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99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5"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0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jc w:val="center"/>
              <w:rPr>
                <w:rFonts w:hint="eastAsia" w:ascii="Default" w:hAnsi="Default" w:cs="Arial"/>
                <w:sz w:val="22"/>
                <w:szCs w:val="22"/>
              </w:rPr>
            </w:pPr>
            <w:r>
              <w:rPr>
                <w:rFonts w:ascii="Default" w:hAnsi="Default" w:cs="Arial"/>
                <w:sz w:val="22"/>
                <w:szCs w:val="22"/>
              </w:rPr>
              <w:t>总计:</w:t>
            </w:r>
          </w:p>
        </w:tc>
        <w:tc>
          <w:tcPr>
            <w:tcW w:w="397" w:type="dxa"/>
            <w:shd w:val="clear" w:color="auto" w:fill="auto"/>
          </w:tcPr>
          <w:p>
            <w:pPr>
              <w:jc w:val="center"/>
              <w:rPr>
                <w:rFonts w:hint="eastAsia" w:ascii="Default" w:hAnsi="Default" w:cs="Arial"/>
                <w:sz w:val="22"/>
                <w:szCs w:val="22"/>
              </w:rPr>
            </w:pPr>
          </w:p>
        </w:tc>
        <w:tc>
          <w:tcPr>
            <w:tcW w:w="397" w:type="dxa"/>
            <w:shd w:val="clear" w:color="auto" w:fill="auto"/>
          </w:tcPr>
          <w:p>
            <w:pPr>
              <w:jc w:val="center"/>
              <w:rPr>
                <w:rFonts w:hint="eastAsia" w:ascii="Default" w:hAnsi="Default" w:cs="Arial"/>
                <w:sz w:val="22"/>
                <w:szCs w:val="22"/>
              </w:rPr>
            </w:pPr>
          </w:p>
        </w:tc>
        <w:tc>
          <w:tcPr>
            <w:tcW w:w="851" w:type="dxa"/>
            <w:shd w:val="clear" w:color="auto" w:fill="auto"/>
          </w:tcPr>
          <w:p>
            <w:pPr>
              <w:jc w:val="center"/>
              <w:rPr>
                <w:rFonts w:hint="eastAsia" w:ascii="Default" w:hAnsi="Default" w:cs="Arial"/>
                <w:sz w:val="22"/>
                <w:szCs w:val="22"/>
              </w:rPr>
            </w:pPr>
          </w:p>
        </w:tc>
        <w:tc>
          <w:tcPr>
            <w:tcW w:w="1092" w:type="dxa"/>
            <w:shd w:val="clear" w:color="auto" w:fill="auto"/>
          </w:tcPr>
          <w:p>
            <w:pPr>
              <w:jc w:val="center"/>
              <w:rPr>
                <w:rFonts w:hint="eastAsia" w:ascii="Default" w:hAnsi="Default" w:cs="Arial"/>
                <w:sz w:val="22"/>
                <w:szCs w:val="22"/>
              </w:rPr>
            </w:pPr>
          </w:p>
        </w:tc>
        <w:tc>
          <w:tcPr>
            <w:tcW w:w="992" w:type="dxa"/>
            <w:shd w:val="clear" w:color="auto" w:fill="auto"/>
          </w:tcPr>
          <w:p>
            <w:pPr>
              <w:jc w:val="center"/>
              <w:rPr>
                <w:rFonts w:hint="eastAsia" w:ascii="Default" w:hAnsi="Default" w:cs="Arial"/>
                <w:sz w:val="22"/>
                <w:szCs w:val="22"/>
              </w:rPr>
            </w:pPr>
            <w:r>
              <w:rPr>
                <w:rFonts w:ascii="Default" w:hAnsi="Default" w:cs="Arial"/>
                <w:sz w:val="22"/>
                <w:szCs w:val="22"/>
              </w:rPr>
              <w:t>12.16</w:t>
            </w:r>
          </w:p>
        </w:tc>
        <w:tc>
          <w:tcPr>
            <w:tcW w:w="425" w:type="dxa"/>
            <w:gridSpan w:val="2"/>
            <w:shd w:val="clear" w:color="auto" w:fill="auto"/>
          </w:tcPr>
          <w:p>
            <w:pPr>
              <w:jc w:val="center"/>
              <w:rPr>
                <w:rFonts w:hint="eastAsia" w:ascii="Default" w:hAnsi="Default" w:cs="Arial"/>
                <w:sz w:val="22"/>
                <w:szCs w:val="22"/>
              </w:rPr>
            </w:pPr>
          </w:p>
        </w:tc>
        <w:tc>
          <w:tcPr>
            <w:tcW w:w="851" w:type="dxa"/>
            <w:shd w:val="clear" w:color="auto" w:fill="auto"/>
          </w:tcPr>
          <w:p>
            <w:pPr>
              <w:jc w:val="center"/>
              <w:rPr>
                <w:rFonts w:hint="eastAsia" w:ascii="Default" w:hAnsi="Default" w:cs="Arial"/>
                <w:sz w:val="22"/>
                <w:szCs w:val="22"/>
              </w:rPr>
            </w:pPr>
            <w:r>
              <w:rPr>
                <w:rFonts w:ascii="Default" w:hAnsi="Default" w:cs="Arial"/>
                <w:sz w:val="22"/>
                <w:szCs w:val="22"/>
              </w:rPr>
              <w:t>10.00</w:t>
            </w:r>
          </w:p>
        </w:tc>
        <w:tc>
          <w:tcPr>
            <w:tcW w:w="850" w:type="dxa"/>
            <w:shd w:val="clear" w:color="auto" w:fill="auto"/>
          </w:tcPr>
          <w:p>
            <w:pPr>
              <w:jc w:val="center"/>
              <w:rPr>
                <w:rFonts w:hint="eastAsia" w:ascii="Default" w:hAnsi="Default" w:cs="Arial"/>
                <w:sz w:val="22"/>
                <w:szCs w:val="22"/>
              </w:rPr>
            </w:pPr>
            <w:r>
              <w:rPr>
                <w:rFonts w:ascii="Default" w:hAnsi="Default" w:cs="Arial"/>
                <w:sz w:val="22"/>
                <w:szCs w:val="22"/>
              </w:rPr>
              <w:t>2.16</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jc w:val="center"/>
              <w:rPr>
                <w:rFonts w:hint="eastAsia" w:ascii="Default" w:hAnsi="Default" w:cs="Arial"/>
                <w:sz w:val="22"/>
                <w:szCs w:val="22"/>
              </w:rPr>
            </w:pPr>
          </w:p>
        </w:tc>
        <w:tc>
          <w:tcPr>
            <w:tcW w:w="397" w:type="dxa"/>
            <w:shd w:val="clear" w:color="auto" w:fill="auto"/>
          </w:tcPr>
          <w:p>
            <w:pPr>
              <w:jc w:val="center"/>
              <w:rPr>
                <w:rFonts w:hint="eastAsia" w:ascii="Default" w:hAnsi="Default" w:cs="Arial"/>
                <w:sz w:val="22"/>
                <w:szCs w:val="22"/>
              </w:rPr>
            </w:pPr>
          </w:p>
        </w:tc>
        <w:tc>
          <w:tcPr>
            <w:tcW w:w="397" w:type="dxa"/>
            <w:shd w:val="clear" w:color="auto" w:fill="auto"/>
          </w:tcPr>
          <w:p>
            <w:pPr>
              <w:jc w:val="center"/>
              <w:rPr>
                <w:rFonts w:hint="eastAsia" w:ascii="Default" w:hAnsi="Default" w:cs="Arial"/>
                <w:sz w:val="22"/>
                <w:szCs w:val="22"/>
              </w:rPr>
            </w:pPr>
          </w:p>
        </w:tc>
        <w:tc>
          <w:tcPr>
            <w:tcW w:w="851" w:type="dxa"/>
            <w:shd w:val="clear" w:color="auto" w:fill="auto"/>
          </w:tcPr>
          <w:p>
            <w:pPr>
              <w:jc w:val="center"/>
              <w:rPr>
                <w:rFonts w:hint="eastAsia" w:ascii="Default" w:hAnsi="Default" w:cs="Arial"/>
                <w:sz w:val="22"/>
                <w:szCs w:val="22"/>
              </w:rPr>
            </w:pPr>
            <w:r>
              <w:rPr>
                <w:rFonts w:ascii="Default" w:hAnsi="Default" w:cs="Arial"/>
                <w:sz w:val="22"/>
                <w:szCs w:val="22"/>
              </w:rPr>
              <w:t>工商联</w:t>
            </w:r>
          </w:p>
        </w:tc>
        <w:tc>
          <w:tcPr>
            <w:tcW w:w="1092" w:type="dxa"/>
            <w:shd w:val="clear" w:color="auto" w:fill="auto"/>
          </w:tcPr>
          <w:p>
            <w:pPr>
              <w:jc w:val="center"/>
              <w:rPr>
                <w:rFonts w:hint="eastAsia" w:ascii="Default" w:hAnsi="Default" w:cs="Arial"/>
                <w:sz w:val="22"/>
                <w:szCs w:val="22"/>
              </w:rPr>
            </w:pPr>
          </w:p>
        </w:tc>
        <w:tc>
          <w:tcPr>
            <w:tcW w:w="992" w:type="dxa"/>
            <w:shd w:val="clear" w:color="auto" w:fill="auto"/>
          </w:tcPr>
          <w:p>
            <w:pPr>
              <w:jc w:val="center"/>
              <w:rPr>
                <w:rFonts w:hint="eastAsia" w:ascii="Default" w:hAnsi="Default" w:cs="Arial"/>
                <w:sz w:val="22"/>
                <w:szCs w:val="22"/>
              </w:rPr>
            </w:pPr>
            <w:r>
              <w:rPr>
                <w:rFonts w:ascii="Default" w:hAnsi="Default" w:cs="Arial"/>
                <w:sz w:val="22"/>
                <w:szCs w:val="22"/>
              </w:rPr>
              <w:t>12.16</w:t>
            </w:r>
          </w:p>
        </w:tc>
        <w:tc>
          <w:tcPr>
            <w:tcW w:w="425" w:type="dxa"/>
            <w:gridSpan w:val="2"/>
            <w:shd w:val="clear" w:color="auto" w:fill="auto"/>
          </w:tcPr>
          <w:p>
            <w:pPr>
              <w:jc w:val="center"/>
              <w:rPr>
                <w:rFonts w:hint="eastAsia" w:ascii="Default" w:hAnsi="Default" w:cs="Arial"/>
                <w:sz w:val="22"/>
                <w:szCs w:val="22"/>
              </w:rPr>
            </w:pPr>
          </w:p>
        </w:tc>
        <w:tc>
          <w:tcPr>
            <w:tcW w:w="851" w:type="dxa"/>
            <w:shd w:val="clear" w:color="auto" w:fill="auto"/>
          </w:tcPr>
          <w:p>
            <w:pPr>
              <w:jc w:val="center"/>
              <w:rPr>
                <w:rFonts w:hint="eastAsia" w:ascii="Default" w:hAnsi="Default" w:cs="Arial"/>
                <w:sz w:val="22"/>
                <w:szCs w:val="22"/>
              </w:rPr>
            </w:pPr>
            <w:r>
              <w:rPr>
                <w:rFonts w:ascii="Default" w:hAnsi="Default" w:cs="Arial"/>
                <w:sz w:val="22"/>
                <w:szCs w:val="22"/>
              </w:rPr>
              <w:t>10.00</w:t>
            </w:r>
          </w:p>
        </w:tc>
        <w:tc>
          <w:tcPr>
            <w:tcW w:w="850" w:type="dxa"/>
            <w:shd w:val="clear" w:color="auto" w:fill="auto"/>
          </w:tcPr>
          <w:p>
            <w:pPr>
              <w:jc w:val="center"/>
              <w:rPr>
                <w:rFonts w:hint="eastAsia" w:ascii="Default" w:hAnsi="Default" w:cs="Arial"/>
                <w:sz w:val="22"/>
                <w:szCs w:val="22"/>
              </w:rPr>
            </w:pPr>
            <w:r>
              <w:rPr>
                <w:rFonts w:ascii="Default" w:hAnsi="Default" w:cs="Arial"/>
                <w:sz w:val="22"/>
                <w:szCs w:val="22"/>
              </w:rPr>
              <w:t>2.16</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jc w:val="center"/>
              <w:rPr>
                <w:rFonts w:hint="eastAsia" w:ascii="Default" w:hAnsi="Default" w:cs="Arial"/>
                <w:sz w:val="22"/>
                <w:szCs w:val="22"/>
              </w:rPr>
            </w:pPr>
            <w:r>
              <w:rPr>
                <w:rFonts w:ascii="Default" w:hAnsi="Default" w:cs="Arial"/>
                <w:sz w:val="22"/>
                <w:szCs w:val="22"/>
              </w:rPr>
              <w:t>201</w:t>
            </w:r>
          </w:p>
        </w:tc>
        <w:tc>
          <w:tcPr>
            <w:tcW w:w="397" w:type="dxa"/>
            <w:shd w:val="clear" w:color="auto" w:fill="auto"/>
          </w:tcPr>
          <w:p>
            <w:pPr>
              <w:jc w:val="center"/>
              <w:rPr>
                <w:rFonts w:hint="eastAsia" w:ascii="Default" w:hAnsi="Default" w:cs="Arial"/>
                <w:sz w:val="22"/>
                <w:szCs w:val="22"/>
              </w:rPr>
            </w:pPr>
            <w:r>
              <w:rPr>
                <w:rFonts w:ascii="Default" w:hAnsi="Default" w:cs="Arial"/>
                <w:sz w:val="22"/>
                <w:szCs w:val="22"/>
              </w:rPr>
              <w:t>28</w:t>
            </w:r>
          </w:p>
        </w:tc>
        <w:tc>
          <w:tcPr>
            <w:tcW w:w="397" w:type="dxa"/>
            <w:shd w:val="clear" w:color="auto" w:fill="auto"/>
          </w:tcPr>
          <w:p>
            <w:pPr>
              <w:jc w:val="center"/>
              <w:rPr>
                <w:rFonts w:hint="eastAsia" w:ascii="Default" w:hAnsi="Default" w:cs="Arial"/>
                <w:sz w:val="22"/>
                <w:szCs w:val="22"/>
              </w:rPr>
            </w:pPr>
            <w:r>
              <w:rPr>
                <w:rFonts w:ascii="Default" w:hAnsi="Default" w:cs="Arial"/>
                <w:sz w:val="22"/>
                <w:szCs w:val="22"/>
              </w:rPr>
              <w:t>01</w:t>
            </w:r>
          </w:p>
        </w:tc>
        <w:tc>
          <w:tcPr>
            <w:tcW w:w="851" w:type="dxa"/>
            <w:shd w:val="clear" w:color="auto" w:fill="auto"/>
          </w:tcPr>
          <w:p>
            <w:pPr>
              <w:jc w:val="center"/>
              <w:rPr>
                <w:rFonts w:hint="eastAsia" w:ascii="Default" w:hAnsi="Default" w:cs="Arial"/>
                <w:sz w:val="22"/>
                <w:szCs w:val="22"/>
              </w:rPr>
            </w:pPr>
            <w:r>
              <w:rPr>
                <w:rFonts w:ascii="Default" w:hAnsi="Default" w:cs="Arial"/>
                <w:sz w:val="22"/>
                <w:szCs w:val="22"/>
              </w:rPr>
              <w:t>行政运行</w:t>
            </w:r>
          </w:p>
        </w:tc>
        <w:tc>
          <w:tcPr>
            <w:tcW w:w="1092" w:type="dxa"/>
            <w:shd w:val="clear" w:color="auto" w:fill="auto"/>
          </w:tcPr>
          <w:p>
            <w:pPr>
              <w:jc w:val="center"/>
              <w:rPr>
                <w:rFonts w:hint="eastAsia" w:ascii="Default" w:hAnsi="Default" w:cs="Arial"/>
                <w:sz w:val="22"/>
                <w:szCs w:val="22"/>
              </w:rPr>
            </w:pPr>
            <w:r>
              <w:rPr>
                <w:rFonts w:ascii="Default" w:hAnsi="Default" w:cs="Arial"/>
                <w:sz w:val="22"/>
                <w:szCs w:val="22"/>
              </w:rPr>
              <w:t>访惠聚人员补助</w:t>
            </w:r>
          </w:p>
        </w:tc>
        <w:tc>
          <w:tcPr>
            <w:tcW w:w="992" w:type="dxa"/>
            <w:shd w:val="clear" w:color="auto" w:fill="auto"/>
          </w:tcPr>
          <w:p>
            <w:pPr>
              <w:jc w:val="center"/>
              <w:rPr>
                <w:rFonts w:hint="eastAsia" w:ascii="Default" w:hAnsi="Default" w:cs="Arial"/>
                <w:sz w:val="22"/>
                <w:szCs w:val="22"/>
              </w:rPr>
            </w:pPr>
            <w:r>
              <w:rPr>
                <w:rFonts w:ascii="Default" w:hAnsi="Default" w:cs="Arial"/>
                <w:sz w:val="22"/>
                <w:szCs w:val="22"/>
              </w:rPr>
              <w:t>2.16</w:t>
            </w:r>
          </w:p>
        </w:tc>
        <w:tc>
          <w:tcPr>
            <w:tcW w:w="425" w:type="dxa"/>
            <w:gridSpan w:val="2"/>
            <w:shd w:val="clear" w:color="auto" w:fill="auto"/>
          </w:tcPr>
          <w:p>
            <w:pPr>
              <w:jc w:val="center"/>
              <w:rPr>
                <w:rFonts w:hint="eastAsia" w:ascii="Default" w:hAnsi="Default" w:cs="Arial"/>
                <w:sz w:val="22"/>
                <w:szCs w:val="22"/>
              </w:rPr>
            </w:pPr>
          </w:p>
        </w:tc>
        <w:tc>
          <w:tcPr>
            <w:tcW w:w="851" w:type="dxa"/>
            <w:shd w:val="clear" w:color="auto" w:fill="auto"/>
          </w:tcPr>
          <w:p>
            <w:pPr>
              <w:jc w:val="center"/>
              <w:rPr>
                <w:rFonts w:hint="eastAsia" w:ascii="Default" w:hAnsi="Default" w:cs="Arial"/>
                <w:sz w:val="22"/>
                <w:szCs w:val="22"/>
              </w:rPr>
            </w:pPr>
          </w:p>
        </w:tc>
        <w:tc>
          <w:tcPr>
            <w:tcW w:w="850" w:type="dxa"/>
            <w:shd w:val="clear" w:color="auto" w:fill="auto"/>
          </w:tcPr>
          <w:p>
            <w:pPr>
              <w:jc w:val="center"/>
              <w:rPr>
                <w:rFonts w:hint="eastAsia" w:ascii="Default" w:hAnsi="Default" w:cs="Arial"/>
                <w:sz w:val="22"/>
                <w:szCs w:val="22"/>
              </w:rPr>
            </w:pPr>
            <w:r>
              <w:rPr>
                <w:rFonts w:ascii="Default" w:hAnsi="Default" w:cs="Arial"/>
                <w:sz w:val="22"/>
                <w:szCs w:val="22"/>
              </w:rPr>
              <w:t>2.16</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jc w:val="center"/>
              <w:rPr>
                <w:rFonts w:hint="eastAsia" w:ascii="Default" w:hAnsi="Default" w:cs="Arial"/>
                <w:sz w:val="22"/>
                <w:szCs w:val="22"/>
              </w:rPr>
            </w:pPr>
            <w:r>
              <w:rPr>
                <w:rFonts w:ascii="Default" w:hAnsi="Default" w:cs="Arial"/>
                <w:sz w:val="22"/>
                <w:szCs w:val="22"/>
              </w:rPr>
              <w:t>201</w:t>
            </w:r>
          </w:p>
        </w:tc>
        <w:tc>
          <w:tcPr>
            <w:tcW w:w="397" w:type="dxa"/>
            <w:shd w:val="clear" w:color="auto" w:fill="auto"/>
          </w:tcPr>
          <w:p>
            <w:pPr>
              <w:jc w:val="center"/>
              <w:rPr>
                <w:rFonts w:hint="eastAsia" w:ascii="Default" w:hAnsi="Default" w:cs="Arial"/>
                <w:sz w:val="22"/>
                <w:szCs w:val="22"/>
              </w:rPr>
            </w:pPr>
            <w:r>
              <w:rPr>
                <w:rFonts w:ascii="Default" w:hAnsi="Default" w:cs="Arial"/>
                <w:sz w:val="22"/>
                <w:szCs w:val="22"/>
              </w:rPr>
              <w:t>29</w:t>
            </w:r>
          </w:p>
        </w:tc>
        <w:tc>
          <w:tcPr>
            <w:tcW w:w="397" w:type="dxa"/>
            <w:shd w:val="clear" w:color="auto" w:fill="auto"/>
          </w:tcPr>
          <w:p>
            <w:pPr>
              <w:jc w:val="center"/>
              <w:rPr>
                <w:rFonts w:hint="eastAsia" w:ascii="Default" w:hAnsi="Default" w:cs="Arial"/>
                <w:sz w:val="22"/>
                <w:szCs w:val="22"/>
              </w:rPr>
            </w:pPr>
            <w:r>
              <w:rPr>
                <w:rFonts w:ascii="Default" w:hAnsi="Default" w:cs="Arial"/>
                <w:sz w:val="22"/>
                <w:szCs w:val="22"/>
              </w:rPr>
              <w:t>02</w:t>
            </w:r>
          </w:p>
        </w:tc>
        <w:tc>
          <w:tcPr>
            <w:tcW w:w="851" w:type="dxa"/>
            <w:shd w:val="clear" w:color="auto" w:fill="auto"/>
          </w:tcPr>
          <w:p>
            <w:pPr>
              <w:jc w:val="center"/>
              <w:rPr>
                <w:rFonts w:hint="eastAsia" w:ascii="Default" w:hAnsi="Default" w:cs="Arial"/>
                <w:sz w:val="22"/>
                <w:szCs w:val="22"/>
              </w:rPr>
            </w:pPr>
            <w:r>
              <w:rPr>
                <w:rFonts w:ascii="Default" w:hAnsi="Default" w:cs="Arial"/>
                <w:sz w:val="22"/>
                <w:szCs w:val="22"/>
              </w:rPr>
              <w:t>一般行政管理事务</w:t>
            </w:r>
          </w:p>
        </w:tc>
        <w:tc>
          <w:tcPr>
            <w:tcW w:w="1092" w:type="dxa"/>
            <w:shd w:val="clear" w:color="auto" w:fill="auto"/>
          </w:tcPr>
          <w:p>
            <w:pPr>
              <w:jc w:val="center"/>
              <w:rPr>
                <w:rFonts w:hint="eastAsia" w:ascii="Default" w:hAnsi="Default" w:cs="Arial"/>
                <w:sz w:val="22"/>
                <w:szCs w:val="22"/>
              </w:rPr>
            </w:pPr>
            <w:r>
              <w:rPr>
                <w:rFonts w:ascii="Default" w:hAnsi="Default" w:cs="Arial"/>
                <w:sz w:val="22"/>
                <w:szCs w:val="22"/>
              </w:rPr>
              <w:t>非公经济组织活动经费</w:t>
            </w:r>
          </w:p>
        </w:tc>
        <w:tc>
          <w:tcPr>
            <w:tcW w:w="992" w:type="dxa"/>
            <w:shd w:val="clear" w:color="auto" w:fill="auto"/>
          </w:tcPr>
          <w:p>
            <w:pPr>
              <w:jc w:val="center"/>
              <w:rPr>
                <w:rFonts w:hint="eastAsia" w:ascii="Default" w:hAnsi="Default" w:cs="Arial"/>
                <w:sz w:val="22"/>
                <w:szCs w:val="22"/>
              </w:rPr>
            </w:pPr>
            <w:r>
              <w:rPr>
                <w:rFonts w:ascii="Default" w:hAnsi="Default" w:cs="Arial"/>
                <w:sz w:val="22"/>
                <w:szCs w:val="22"/>
              </w:rPr>
              <w:t>10.00</w:t>
            </w:r>
          </w:p>
        </w:tc>
        <w:tc>
          <w:tcPr>
            <w:tcW w:w="425" w:type="dxa"/>
            <w:gridSpan w:val="2"/>
            <w:shd w:val="clear" w:color="auto" w:fill="auto"/>
          </w:tcPr>
          <w:p>
            <w:pPr>
              <w:jc w:val="center"/>
              <w:rPr>
                <w:rFonts w:hint="eastAsia" w:ascii="Default" w:hAnsi="Default" w:cs="Arial"/>
                <w:sz w:val="22"/>
                <w:szCs w:val="22"/>
              </w:rPr>
            </w:pPr>
          </w:p>
        </w:tc>
        <w:tc>
          <w:tcPr>
            <w:tcW w:w="851" w:type="dxa"/>
            <w:shd w:val="clear" w:color="auto" w:fill="auto"/>
          </w:tcPr>
          <w:p>
            <w:pPr>
              <w:jc w:val="center"/>
              <w:rPr>
                <w:rFonts w:hint="eastAsia" w:ascii="Default" w:hAnsi="Default" w:cs="Arial"/>
                <w:sz w:val="22"/>
                <w:szCs w:val="22"/>
              </w:rPr>
            </w:pPr>
            <w:r>
              <w:rPr>
                <w:rFonts w:ascii="Default" w:hAnsi="Default" w:cs="Arial"/>
                <w:sz w:val="22"/>
                <w:szCs w:val="22"/>
              </w:rPr>
              <w:t>10.00</w:t>
            </w:r>
          </w:p>
        </w:tc>
        <w:tc>
          <w:tcPr>
            <w:tcW w:w="850" w:type="dxa"/>
            <w:shd w:val="clear" w:color="auto" w:fill="auto"/>
          </w:tcPr>
          <w:p>
            <w:pPr>
              <w:jc w:val="center"/>
              <w:rPr>
                <w:rFonts w:hint="eastAsia" w:ascii="Default" w:hAnsi="Default" w:cs="Arial"/>
                <w:sz w:val="22"/>
                <w:szCs w:val="22"/>
              </w:rPr>
            </w:pP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rPr>
                <w:rFonts w:hint="eastAsia" w:ascii="Default" w:hAnsi="Default" w:cs="Arial"/>
                <w:sz w:val="20"/>
                <w:szCs w:val="20"/>
              </w:rPr>
            </w:pPr>
            <w:r>
              <w:rPr>
                <w:rFonts w:ascii="Default" w:hAnsi="Default" w:cs="Arial"/>
                <w:sz w:val="20"/>
                <w:szCs w:val="20"/>
              </w:rPr>
              <w:t>　</w:t>
            </w:r>
          </w:p>
        </w:tc>
        <w:tc>
          <w:tcPr>
            <w:tcW w:w="397" w:type="dxa"/>
            <w:shd w:val="clear" w:color="auto" w:fill="auto"/>
          </w:tcPr>
          <w:p>
            <w:pPr>
              <w:rPr>
                <w:rFonts w:hint="eastAsia" w:ascii="Default" w:hAnsi="Default" w:cs="Arial"/>
                <w:sz w:val="20"/>
                <w:szCs w:val="20"/>
              </w:rPr>
            </w:pPr>
            <w:r>
              <w:rPr>
                <w:rFonts w:ascii="Default" w:hAnsi="Default" w:cs="Arial"/>
                <w:sz w:val="20"/>
                <w:szCs w:val="20"/>
              </w:rPr>
              <w:t>　</w:t>
            </w:r>
          </w:p>
        </w:tc>
        <w:tc>
          <w:tcPr>
            <w:tcW w:w="397" w:type="dxa"/>
            <w:shd w:val="clear" w:color="auto" w:fill="auto"/>
          </w:tcPr>
          <w:p>
            <w:pPr>
              <w:rPr>
                <w:rFonts w:hint="eastAsia" w:ascii="Default" w:hAnsi="Default" w:cs="Arial"/>
                <w:sz w:val="20"/>
                <w:szCs w:val="20"/>
              </w:rPr>
            </w:pPr>
            <w:r>
              <w:rPr>
                <w:rFonts w:ascii="Default" w:hAnsi="Default" w:cs="Arial"/>
                <w:sz w:val="20"/>
                <w:szCs w:val="20"/>
              </w:rPr>
              <w:t>　</w:t>
            </w:r>
          </w:p>
        </w:tc>
        <w:tc>
          <w:tcPr>
            <w:tcW w:w="851" w:type="dxa"/>
            <w:shd w:val="clear" w:color="auto" w:fill="auto"/>
          </w:tcPr>
          <w:p>
            <w:pPr>
              <w:rPr>
                <w:rFonts w:hint="eastAsia" w:ascii="Default" w:hAnsi="Default" w:cs="Arial"/>
                <w:sz w:val="20"/>
                <w:szCs w:val="20"/>
              </w:rPr>
            </w:pPr>
            <w:r>
              <w:rPr>
                <w:rFonts w:ascii="Default" w:hAnsi="Default" w:cs="Arial"/>
                <w:sz w:val="20"/>
                <w:szCs w:val="20"/>
              </w:rPr>
              <w:t>　</w:t>
            </w:r>
          </w:p>
        </w:tc>
        <w:tc>
          <w:tcPr>
            <w:tcW w:w="1092" w:type="dxa"/>
            <w:shd w:val="clear" w:color="auto" w:fill="auto"/>
          </w:tcPr>
          <w:p>
            <w:pPr>
              <w:rPr>
                <w:rFonts w:hint="eastAsia" w:ascii="Default" w:hAnsi="Default" w:cs="Arial"/>
                <w:sz w:val="20"/>
                <w:szCs w:val="20"/>
              </w:rPr>
            </w:pPr>
            <w:r>
              <w:rPr>
                <w:rFonts w:ascii="Default" w:hAnsi="Default" w:cs="Arial"/>
                <w:sz w:val="20"/>
                <w:szCs w:val="20"/>
              </w:rPr>
              <w:t>　</w:t>
            </w:r>
          </w:p>
        </w:tc>
        <w:tc>
          <w:tcPr>
            <w:tcW w:w="992" w:type="dxa"/>
            <w:shd w:val="clear" w:color="auto" w:fill="auto"/>
          </w:tcPr>
          <w:p>
            <w:pPr>
              <w:rPr>
                <w:rFonts w:hint="eastAsia" w:ascii="Default" w:hAnsi="Default" w:cs="Arial"/>
                <w:sz w:val="20"/>
                <w:szCs w:val="20"/>
              </w:rPr>
            </w:pPr>
            <w:r>
              <w:rPr>
                <w:rFonts w:ascii="Default" w:hAnsi="Default" w:cs="Arial"/>
                <w:sz w:val="20"/>
                <w:szCs w:val="20"/>
              </w:rPr>
              <w:t>　</w:t>
            </w:r>
          </w:p>
        </w:tc>
        <w:tc>
          <w:tcPr>
            <w:tcW w:w="425" w:type="dxa"/>
            <w:gridSpan w:val="2"/>
            <w:shd w:val="clear" w:color="auto" w:fill="auto"/>
          </w:tcPr>
          <w:p>
            <w:pPr>
              <w:rPr>
                <w:rFonts w:hint="eastAsia" w:ascii="Default" w:hAnsi="Default" w:cs="Arial"/>
                <w:sz w:val="20"/>
                <w:szCs w:val="20"/>
              </w:rPr>
            </w:pPr>
            <w:r>
              <w:rPr>
                <w:rFonts w:ascii="Default" w:hAnsi="Default" w:cs="Arial"/>
                <w:sz w:val="20"/>
                <w:szCs w:val="20"/>
              </w:rPr>
              <w:t>　</w:t>
            </w:r>
          </w:p>
        </w:tc>
        <w:tc>
          <w:tcPr>
            <w:tcW w:w="851" w:type="dxa"/>
            <w:shd w:val="clear" w:color="auto" w:fill="auto"/>
          </w:tcPr>
          <w:p>
            <w:pPr>
              <w:rPr>
                <w:rFonts w:hint="eastAsia" w:ascii="Default" w:hAnsi="Default" w:cs="Arial"/>
                <w:sz w:val="20"/>
                <w:szCs w:val="20"/>
              </w:rPr>
            </w:pPr>
            <w:r>
              <w:rPr>
                <w:rFonts w:ascii="Default" w:hAnsi="Default" w:cs="Arial"/>
                <w:sz w:val="20"/>
                <w:szCs w:val="20"/>
              </w:rPr>
              <w:t>　</w:t>
            </w:r>
          </w:p>
        </w:tc>
        <w:tc>
          <w:tcPr>
            <w:tcW w:w="850" w:type="dxa"/>
            <w:shd w:val="clear" w:color="auto" w:fill="auto"/>
          </w:tcPr>
          <w:p>
            <w:pPr>
              <w:rPr>
                <w:rFonts w:hint="eastAsia" w:ascii="Default" w:hAnsi="Default" w:cs="Arial"/>
                <w:sz w:val="20"/>
                <w:szCs w:val="20"/>
              </w:rPr>
            </w:pPr>
            <w:r>
              <w:rPr>
                <w:rFonts w:ascii="Default" w:hAnsi="Default" w:cs="Arial"/>
                <w:sz w:val="20"/>
                <w:szCs w:val="20"/>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397" w:type="dxa"/>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1092" w:type="dxa"/>
            <w:shd w:val="clear" w:color="auto" w:fill="auto"/>
          </w:tcPr>
          <w:p>
            <w:pPr>
              <w:widowControl/>
              <w:jc w:val="left"/>
              <w:outlineLvl w:val="1"/>
              <w:rPr>
                <w:rFonts w:ascii="仿宋_GB2312" w:hAnsi="宋体" w:eastAsia="仿宋_GB2312"/>
                <w:kern w:val="0"/>
                <w:sz w:val="32"/>
                <w:szCs w:val="32"/>
              </w:rPr>
            </w:pPr>
          </w:p>
        </w:tc>
        <w:tc>
          <w:tcPr>
            <w:tcW w:w="992" w:type="dxa"/>
            <w:shd w:val="clear" w:color="auto" w:fill="auto"/>
          </w:tcPr>
          <w:p>
            <w:pPr>
              <w:widowControl/>
              <w:jc w:val="left"/>
              <w:outlineLvl w:val="1"/>
              <w:rPr>
                <w:rFonts w:ascii="仿宋_GB2312" w:hAnsi="宋体" w:eastAsia="仿宋_GB2312"/>
                <w:kern w:val="0"/>
                <w:sz w:val="32"/>
                <w:szCs w:val="32"/>
              </w:rPr>
            </w:pPr>
          </w:p>
        </w:tc>
        <w:tc>
          <w:tcPr>
            <w:tcW w:w="425" w:type="dxa"/>
            <w:gridSpan w:val="2"/>
            <w:shd w:val="clear" w:color="auto" w:fill="auto"/>
          </w:tcPr>
          <w:p>
            <w:pPr>
              <w:widowControl/>
              <w:jc w:val="left"/>
              <w:outlineLvl w:val="1"/>
              <w:rPr>
                <w:rFonts w:ascii="仿宋_GB2312" w:hAnsi="宋体" w:eastAsia="仿宋_GB2312"/>
                <w:kern w:val="0"/>
                <w:sz w:val="32"/>
                <w:szCs w:val="32"/>
              </w:rPr>
            </w:pPr>
          </w:p>
        </w:tc>
        <w:tc>
          <w:tcPr>
            <w:tcW w:w="851" w:type="dxa"/>
            <w:shd w:val="clear" w:color="auto" w:fill="auto"/>
          </w:tcPr>
          <w:p>
            <w:pPr>
              <w:widowControl/>
              <w:jc w:val="left"/>
              <w:outlineLvl w:val="1"/>
              <w:rPr>
                <w:rFonts w:ascii="仿宋_GB2312" w:hAnsi="宋体" w:eastAsia="仿宋_GB2312"/>
                <w:kern w:val="0"/>
                <w:sz w:val="32"/>
                <w:szCs w:val="32"/>
              </w:rPr>
            </w:pPr>
          </w:p>
        </w:tc>
        <w:tc>
          <w:tcPr>
            <w:tcW w:w="850" w:type="dxa"/>
            <w:shd w:val="clear" w:color="auto" w:fill="auto"/>
          </w:tcPr>
          <w:p>
            <w:pPr>
              <w:widowControl/>
              <w:jc w:val="left"/>
              <w:outlineLvl w:val="1"/>
              <w:rPr>
                <w:rFonts w:ascii="仿宋_GB2312" w:hAnsi="宋体" w:eastAsia="仿宋_GB2312"/>
                <w:kern w:val="0"/>
                <w:sz w:val="32"/>
                <w:szCs w:val="32"/>
              </w:rPr>
            </w:pPr>
          </w:p>
        </w:tc>
        <w:tc>
          <w:tcPr>
            <w:tcW w:w="405"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7"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92"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992" w:type="dxa"/>
            <w:shd w:val="clear" w:color="auto" w:fill="auto"/>
            <w:vAlign w:val="center"/>
          </w:tcPr>
          <w:p>
            <w:pPr>
              <w:widowControl/>
              <w:jc w:val="center"/>
              <w:outlineLvl w:val="1"/>
              <w:rPr>
                <w:rFonts w:ascii="仿宋_GB2312" w:hAnsi="宋体" w:eastAsia="仿宋_GB2312"/>
                <w:kern w:val="0"/>
                <w:szCs w:val="21"/>
              </w:rPr>
            </w:pPr>
          </w:p>
        </w:tc>
        <w:tc>
          <w:tcPr>
            <w:tcW w:w="425"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5"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备注：此表为空，本单位无相关支出。</w:t>
      </w: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备注：此表为空，本单位无相关支出。</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关于工商联2019年收支预算情况的总体说明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黑体" w:eastAsia="仿宋_GB2312" w:cs="宋体"/>
          <w:bCs/>
          <w:kern w:val="0"/>
          <w:sz w:val="32"/>
          <w:szCs w:val="32"/>
        </w:rPr>
        <w:t>工商联2019</w:t>
      </w:r>
      <w:r>
        <w:rPr>
          <w:rFonts w:hint="eastAsia" w:ascii="仿宋_GB2312" w:hAnsi="宋体" w:eastAsia="仿宋_GB2312" w:cs="宋体"/>
          <w:kern w:val="0"/>
          <w:sz w:val="32"/>
          <w:szCs w:val="32"/>
        </w:rPr>
        <w:t>年所有收入和支出均纳入部门预算管理。收支总预算73.9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收入预算包括：一般公共预算73.9万元。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支出预算包括：一般公共服务支出65.09万元、公共安全支出4.86万元、社会保障和就业支出3.95万元、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二、关于工商联2019年收入预算情况说明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工商联收入预算 73.90元，其中：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  73.90 万元，占 100 %，比上年增加</w:t>
      </w:r>
      <w:r>
        <w:rPr>
          <w:rFonts w:hint="eastAsia" w:ascii="仿宋_GB2312" w:hAnsi="宋体" w:eastAsia="仿宋_GB2312" w:cs="宋体"/>
          <w:sz w:val="32"/>
          <w:szCs w:val="32"/>
        </w:rPr>
        <w:t>9.62</w:t>
      </w:r>
      <w:r>
        <w:rPr>
          <w:rFonts w:hint="eastAsia" w:ascii="仿宋_GB2312" w:hAnsi="宋体" w:eastAsia="仿宋_GB2312" w:cs="宋体"/>
          <w:kern w:val="0"/>
          <w:sz w:val="32"/>
          <w:szCs w:val="32"/>
        </w:rPr>
        <w:t xml:space="preserve"> 万元，主要原因是增加了基本项目经费  ；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政府性基金预算未安排。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三、关于工商联2019年支出预算情况说明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工商联2019年支出预算73.90元，其中：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基本支出61.74万元，占84%，比上年减少2.54万元，主要原因是退休一人。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项目支出10万元，占14 %，比上年增加10万元，主要原因是组织工商联各项活动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工商联</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2019年财政拨款收支总预算73.90万元。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收入全部为一般公共预算拨款，无政府性基金预算拨款。一般公共服务支出预算65.09万元，公共安全支出预算4.86万元，社会保障和就业支出预算3.95万元。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五、关于工商联2019年一般公共预算当年拨款情况说明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工商联2</w:t>
      </w:r>
      <w:r>
        <w:rPr>
          <w:rFonts w:hint="eastAsia" w:ascii="黑体" w:hAnsi="宋体" w:eastAsia="黑体" w:cs="宋体"/>
          <w:kern w:val="0"/>
          <w:sz w:val="32"/>
          <w:szCs w:val="32"/>
        </w:rPr>
        <w:t>019</w:t>
      </w:r>
      <w:r>
        <w:rPr>
          <w:rFonts w:hint="eastAsia" w:ascii="仿宋_GB2312" w:hAnsi="宋体" w:eastAsia="仿宋_GB2312" w:cs="宋体"/>
          <w:kern w:val="0"/>
          <w:sz w:val="32"/>
          <w:szCs w:val="32"/>
        </w:rPr>
        <w:t xml:space="preserve">年一般公共预算拨款基本支出73.90万元，比上年执行数增加9.62万元，增长15%。主要原因是：组织各项活动经费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1.一般公共服务（类）65.09</w:t>
      </w:r>
      <w:r>
        <w:rPr>
          <w:rFonts w:hint="eastAsia" w:ascii="仿宋_GB2312" w:hAnsi="宋体" w:eastAsia="仿宋_GB2312" w:cs="宋体"/>
          <w:kern w:val="0"/>
          <w:sz w:val="32"/>
          <w:szCs w:val="32"/>
        </w:rPr>
        <w:t>万元，占88%。</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hint="eastAsia" w:ascii="仿宋_GB2312" w:eastAsia="仿宋_GB2312"/>
          <w:sz w:val="32"/>
          <w:szCs w:val="32"/>
        </w:rPr>
        <w:t>（类）4.86</w:t>
      </w:r>
      <w:r>
        <w:rPr>
          <w:rFonts w:hint="eastAsia" w:ascii="仿宋_GB2312" w:hAnsi="宋体" w:eastAsia="仿宋_GB2312" w:cs="宋体"/>
          <w:kern w:val="0"/>
          <w:sz w:val="32"/>
          <w:szCs w:val="32"/>
        </w:rPr>
        <w:t>万元，占7%。</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（类）3.95</w:t>
      </w:r>
      <w:r>
        <w:rPr>
          <w:rFonts w:hint="eastAsia" w:ascii="仿宋_GB2312" w:hAnsi="宋体" w:eastAsia="仿宋_GB2312" w:cs="宋体"/>
          <w:kern w:val="0"/>
          <w:sz w:val="32"/>
          <w:szCs w:val="32"/>
        </w:rPr>
        <w:t>万元，占5%。</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65.09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比上年执行数增加13.97万元，增长27 %，主要原因是：增加2名雇员     </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 xml:space="preserve"> 公共安全支出</w:t>
      </w:r>
      <w:r>
        <w:rPr>
          <w:rFonts w:hint="eastAsia" w:ascii="仿宋_GB2312" w:eastAsia="仿宋_GB2312"/>
          <w:sz w:val="32"/>
          <w:szCs w:val="32"/>
        </w:rPr>
        <w:t>（类）</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4.86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比上年执行数减少2.34万元，减少33% %，主要原因是：退休一人。</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3、</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3.95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比上年执行数减少2.01万元，减少34% %，主要原因是：退休一人。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六、关于工商联2019年一般公共预算基本支出情况说明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工商联2019年一般公共预算基本支出61.74万元，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59.21万元，主要包括：基本工资10.38万元、津贴补贴10.79万元、奖金4.46万元、机关事业单位基本养老保险缴费3.95万元、职工基本医疗保险缴费1.78万元、公务员医疗补助缴费0.4万元、其他社会保障缴费0.16万元、住房公积金3.62万元、其他工资福利支出18.81万元、其他对个人和家庭的补助 4.86万元等。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2.53万元，主要包括：办公费0.13万元、水费0.03万元、电费0.07万元、邮电费0.11万元、差旅费0.27万元、维修（护）费0.01万元、培训费0.28万元、工会经费0.38万元、福利费0.87万元、其他商品和服务支出0.38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七、关于工商联2019年项目支出情况说明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b/>
          <w:sz w:val="32"/>
          <w:szCs w:val="32"/>
        </w:rPr>
        <w:t>1.</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非公经济组织活动经费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sz w:val="32"/>
          <w:szCs w:val="32"/>
        </w:rPr>
        <w:t>《中国工商业联合会章程》</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高新区（新市区）工商联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未实施</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2019年1月1日至12月31日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访惠聚人员补助</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：按照区人事局核定的人数和标准发放</w:t>
      </w: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2.16万元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高新区（新市区）工商联</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未分配</w:t>
      </w:r>
    </w:p>
    <w:p>
      <w:pPr>
        <w:spacing w:line="580" w:lineRule="exact"/>
        <w:ind w:firstLine="640"/>
        <w:rPr>
          <w:rFonts w:ascii="仿宋_GB2312" w:hAnsi="宋体" w:eastAsia="仿宋_GB2312" w:cs="宋体"/>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sz w:val="32"/>
          <w:szCs w:val="32"/>
        </w:rPr>
        <w:t>2019年1月1日至12月31日</w:t>
      </w:r>
    </w:p>
    <w:p>
      <w:pPr>
        <w:widowControl/>
        <w:spacing w:line="580" w:lineRule="exact"/>
        <w:ind w:firstLine="640"/>
        <w:jc w:val="left"/>
        <w:rPr>
          <w:rFonts w:ascii="仿宋_GB2312" w:hAnsi="黑体" w:eastAsia="仿宋_GB2312"/>
          <w:sz w:val="32"/>
          <w:szCs w:val="32"/>
        </w:rPr>
      </w:pPr>
      <w:r>
        <w:rPr>
          <w:rFonts w:ascii="仿宋_GB2312" w:hAnsi="宋体" w:eastAsia="仿宋_GB2312"/>
          <w:sz w:val="32"/>
          <w:szCs w:val="22"/>
        </w:rPr>
        <w:t>资金来源</w:t>
      </w:r>
      <w:r>
        <w:rPr>
          <w:rFonts w:hint="eastAsia" w:ascii="仿宋_GB2312" w:hAnsi="黑体" w:eastAsia="仿宋_GB2312"/>
          <w:sz w:val="32"/>
          <w:szCs w:val="32"/>
        </w:rPr>
        <w:t>：财政拨款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1人</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1800元/人/月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sz w:val="32"/>
          <w:szCs w:val="22"/>
        </w:rPr>
        <w:t>下派“访惠聚”工作队人员</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sz w:val="32"/>
          <w:szCs w:val="22"/>
        </w:rPr>
        <w:t>银行打卡</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sz w:val="32"/>
          <w:szCs w:val="22"/>
        </w:rPr>
        <w:t>每月由各社区专干根据考勤制作考勤表，上报片区管委会，由社区领导、管委会分管领导审核签字后上报单位办公室，由财务室上报区财政局预算科审核，再由区财政局授权支付科审核，审核完毕后单位做授权支付统一打卡。</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sz w:val="32"/>
          <w:szCs w:val="22"/>
        </w:rPr>
        <w:t>确保了首府社会大局和谐</w:t>
      </w:r>
      <w:bookmarkStart w:id="0" w:name="_GoBack"/>
      <w:bookmarkEnd w:id="0"/>
      <w:r>
        <w:rPr>
          <w:rFonts w:hint="eastAsia" w:ascii="仿宋_GB2312" w:hAnsi="宋体" w:eastAsia="仿宋_GB2312"/>
          <w:sz w:val="32"/>
          <w:szCs w:val="22"/>
        </w:rPr>
        <w:t>，提高了经济发展的质量和效益，各族群众获得感、幸福感、安全感不断增强。</w:t>
      </w:r>
    </w:p>
    <w:p>
      <w:pPr>
        <w:widowControl/>
        <w:spacing w:line="580" w:lineRule="exact"/>
        <w:jc w:val="left"/>
        <w:rPr>
          <w:rFonts w:ascii="仿宋_GB2312" w:hAnsi="宋体" w:eastAsia="仿宋_GB2312"/>
          <w:sz w:val="32"/>
          <w:szCs w:val="22"/>
        </w:rPr>
      </w:pP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八、关于工商联2019年一般公共预算“三公”经费预算情况说明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工商联2019年“三公”经费财政拨款预算数为0万元，其中：因公出国（境）费 0万元，公务用车购置0万元，公务用车运行费0 万元，公务接待费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   0万元，其中：因公出国（境）费增加0万元，主要原因是 无  ；公务用车购置费为0，未安排预算。公务用车运行费增加0万元，主要原因是 无  ；公务接待费增加0万元，主要原因是 无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九、关于工商联2019年政府性基金预算拨款情况说明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工商联2019年没有使用政府性基金预算拨款安排的支出，政府性基金预算支出情况表为空表。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2019年，工商联本级及下属0家行政单位、0家参公管理事业单位和0家事业单位的机关运行经费财政拨款预算73.9万元，比上年预算增加9.62万元，增长15%。主要原因是非公经济组织活动经费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2019年，工商联及下属单位政府采购预算0 万元，其中：政府采购货物预算 0 万元，政府采购工程预算0 万元，政府采购服务预算 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 0 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截至2018年底，工商联及下属各预算单位占用使用国有资产总体情况为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0平方米，价值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0辆，价值 0万元；其中：一般公务用车 0辆，价值0 万元；执法执勤用车0 辆，价值 0万元；其他车辆  辆，价值0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 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2019年度，本年度实行绩效管理的项目2个，涉及预算金额 12.16 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高新区（新市区工商联）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“访惠聚”人员补助</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访惠聚人员补助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2.16万元</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rPr>
                <w:rFonts w:ascii="宋体" w:hAnsi="宋体" w:cs="宋体"/>
                <w:kern w:val="0"/>
                <w:sz w:val="18"/>
                <w:szCs w:val="18"/>
              </w:rPr>
            </w:pPr>
            <w:r>
              <w:rPr>
                <w:rFonts w:hint="eastAsia"/>
                <w:color w:val="333333"/>
                <w:sz w:val="18"/>
                <w:szCs w:val="18"/>
                <w:shd w:val="clear" w:color="auto" w:fill="FFFFFF"/>
              </w:rPr>
              <w:t>开展群众工作</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 xml:space="preserve"> 为群众办好事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3件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开展各项活动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10项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访惠聚人员补助人数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按补贴标准发放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每人1800元/月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群众工作保质保量完成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综合能力素质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显著提升</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落实更民政策</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拓宽致富门路</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为群众办实事好事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长期有效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脱贫攻坚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长期有效</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color w:val="333333"/>
                <w:sz w:val="18"/>
                <w:szCs w:val="18"/>
                <w:shd w:val="clear" w:color="auto" w:fill="FFFFFF"/>
              </w:rPr>
              <w:t>促进经济发展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显著提升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政府事业单位反馈意见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20"/>
                <w:szCs w:val="20"/>
              </w:rPr>
              <w:t>群众反馈意见</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高新区（新市区工商联）</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    非公经济组织活动</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非公经济组织活动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180" w:firstLineChars="100"/>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完成时间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2019年12月31日前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参加人数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30人</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强化政治信仰和政治素质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扎实做好红色教育工作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ind w:firstLine="200" w:firstLineChars="100"/>
              <w:jc w:val="left"/>
              <w:rPr>
                <w:rFonts w:ascii="宋体" w:hAnsi="宋体" w:cs="宋体"/>
                <w:kern w:val="0"/>
                <w:sz w:val="20"/>
                <w:szCs w:val="20"/>
              </w:rPr>
            </w:pPr>
            <w:r>
              <w:rPr>
                <w:rFonts w:hint="eastAsia" w:ascii="宋体" w:hAnsi="宋体" w:cs="宋体"/>
                <w:kern w:val="0"/>
                <w:sz w:val="20"/>
                <w:szCs w:val="20"/>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促进企业交流沟通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发挥工商联带头作用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显著提升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48"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1600" w:firstLineChars="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高新区（新市区）工商联</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efault">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218BC"/>
    <w:rsid w:val="000413A4"/>
    <w:rsid w:val="000A1D56"/>
    <w:rsid w:val="001073B9"/>
    <w:rsid w:val="001518A2"/>
    <w:rsid w:val="001533CF"/>
    <w:rsid w:val="001718B6"/>
    <w:rsid w:val="001B0573"/>
    <w:rsid w:val="001C5B79"/>
    <w:rsid w:val="0021062D"/>
    <w:rsid w:val="00274B9E"/>
    <w:rsid w:val="00275992"/>
    <w:rsid w:val="00285014"/>
    <w:rsid w:val="002A0B86"/>
    <w:rsid w:val="002B5144"/>
    <w:rsid w:val="00325B17"/>
    <w:rsid w:val="00375742"/>
    <w:rsid w:val="00417E49"/>
    <w:rsid w:val="0049168B"/>
    <w:rsid w:val="004B1EFC"/>
    <w:rsid w:val="004B363D"/>
    <w:rsid w:val="004C7C8D"/>
    <w:rsid w:val="005413BE"/>
    <w:rsid w:val="005C4D7A"/>
    <w:rsid w:val="00610B46"/>
    <w:rsid w:val="00634A5E"/>
    <w:rsid w:val="0066768B"/>
    <w:rsid w:val="0068340A"/>
    <w:rsid w:val="006F2164"/>
    <w:rsid w:val="00714321"/>
    <w:rsid w:val="007271EB"/>
    <w:rsid w:val="007327E6"/>
    <w:rsid w:val="00773FF0"/>
    <w:rsid w:val="007C03DF"/>
    <w:rsid w:val="007F2EF8"/>
    <w:rsid w:val="00874328"/>
    <w:rsid w:val="008A266E"/>
    <w:rsid w:val="008D0DD5"/>
    <w:rsid w:val="008F3F12"/>
    <w:rsid w:val="009322F9"/>
    <w:rsid w:val="0094473E"/>
    <w:rsid w:val="009F333B"/>
    <w:rsid w:val="00A11EBE"/>
    <w:rsid w:val="00AA27D2"/>
    <w:rsid w:val="00B8656C"/>
    <w:rsid w:val="00B87B30"/>
    <w:rsid w:val="00B916F7"/>
    <w:rsid w:val="00C11870"/>
    <w:rsid w:val="00C2562B"/>
    <w:rsid w:val="00CB39DD"/>
    <w:rsid w:val="00CB689C"/>
    <w:rsid w:val="00DB0B4B"/>
    <w:rsid w:val="00DB70C3"/>
    <w:rsid w:val="00DE1328"/>
    <w:rsid w:val="00E156D4"/>
    <w:rsid w:val="00E62741"/>
    <w:rsid w:val="00E823AD"/>
    <w:rsid w:val="00EE1BE5"/>
    <w:rsid w:val="00EE5B28"/>
    <w:rsid w:val="00F22DD7"/>
    <w:rsid w:val="00F54598"/>
    <w:rsid w:val="00FC6ABD"/>
    <w:rsid w:val="033B656B"/>
    <w:rsid w:val="0502000C"/>
    <w:rsid w:val="0EB2184E"/>
    <w:rsid w:val="193F2261"/>
    <w:rsid w:val="3A6E0DBA"/>
    <w:rsid w:val="424D0EAA"/>
    <w:rsid w:val="425517E2"/>
    <w:rsid w:val="44170D0D"/>
    <w:rsid w:val="477C4F69"/>
    <w:rsid w:val="4E057748"/>
    <w:rsid w:val="5C1F026F"/>
    <w:rsid w:val="689E1548"/>
    <w:rsid w:val="6AC314CD"/>
    <w:rsid w:val="7104283A"/>
    <w:rsid w:val="72366B58"/>
    <w:rsid w:val="742868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1688</Words>
  <Characters>9622</Characters>
  <Lines>80</Lines>
  <Paragraphs>22</Paragraphs>
  <TotalTime>88</TotalTime>
  <ScaleCrop>false</ScaleCrop>
  <LinksUpToDate>false</LinksUpToDate>
  <CharactersWithSpaces>11288</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逗～</cp:lastModifiedBy>
  <dcterms:modified xsi:type="dcterms:W3CDTF">2019-08-17T04:14:44Z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