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04" w:rsidRDefault="00F32693">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高新区（新市区）政治协商会议委员会</w:t>
      </w:r>
    </w:p>
    <w:p w:rsidR="00702304" w:rsidRDefault="00F32693">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702304" w:rsidRDefault="00F32693">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  录</w:t>
      </w:r>
    </w:p>
    <w:p w:rsidR="00702304" w:rsidRDefault="00702304">
      <w:pPr>
        <w:widowControl/>
        <w:spacing w:line="500" w:lineRule="exact"/>
        <w:jc w:val="center"/>
        <w:outlineLvl w:val="1"/>
        <w:rPr>
          <w:rFonts w:ascii="宋体" w:hAnsi="宋体"/>
          <w:b/>
          <w:kern w:val="0"/>
          <w:sz w:val="44"/>
          <w:szCs w:val="44"/>
        </w:rPr>
      </w:pPr>
    </w:p>
    <w:p w:rsidR="00702304" w:rsidRDefault="00F3269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中国人民政治协商会议乌鲁木齐市新市区委员会单位概况</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702304" w:rsidRDefault="00F3269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702304" w:rsidRDefault="00F3269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一、关于中国人民政治协商会议乌鲁木齐市新市区委员会2019年收支预算情况的总体说明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二、关于中国人民政治协商会议乌鲁木齐市新市区委员会2019年收入预算情况说明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三、关于中国人民政治协商会议乌鲁木齐市新市区委员会2019年支出预算情况说明</w:t>
      </w:r>
    </w:p>
    <w:p w:rsidR="00702304" w:rsidRDefault="00F32693">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w:t>
      </w:r>
      <w:r>
        <w:rPr>
          <w:rFonts w:ascii="仿宋_GB2312" w:eastAsia="仿宋_GB2312" w:hAnsi="宋体" w:hint="eastAsia"/>
          <w:kern w:val="0"/>
          <w:sz w:val="32"/>
          <w:szCs w:val="32"/>
        </w:rPr>
        <w:t>中国人民政治协商会议乌鲁木齐市新市区委员会2019</w:t>
      </w:r>
      <w:r>
        <w:rPr>
          <w:rFonts w:ascii="仿宋_GB2312" w:eastAsia="仿宋_GB2312" w:hAnsi="宋体" w:hint="eastAsia"/>
          <w:bCs/>
          <w:kern w:val="0"/>
          <w:sz w:val="32"/>
          <w:szCs w:val="32"/>
        </w:rPr>
        <w:t>年财政拨款收支预算情况的总体说明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五、关于中国人民政治协商会议乌鲁木齐市新市区委员会2019年一般公共预算当年拨款情况说明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六、关于中国人民政治协商会议乌鲁木齐市新市区委员会2019年一般公共预算基本支出情况说明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七、关于中国人民政治协商会议乌鲁木齐市新市区委员会2019年项目支出情况说明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八、关于中国人民政治协商会议乌鲁木齐市新市区委员会2019年一般公共预算“三公”经费预算情况说明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九、关于中国人民政治协商会议乌鲁木齐市新市区委员会2019年政府性基金预算拨款情况说明</w:t>
      </w:r>
    </w:p>
    <w:p w:rsidR="00702304" w:rsidRDefault="00F3269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702304" w:rsidRDefault="00F3269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702304">
      <w:pPr>
        <w:widowControl/>
        <w:jc w:val="center"/>
        <w:outlineLvl w:val="1"/>
        <w:rPr>
          <w:rFonts w:ascii="黑体" w:eastAsia="黑体" w:hAnsi="黑体"/>
          <w:kern w:val="0"/>
          <w:sz w:val="32"/>
          <w:szCs w:val="32"/>
        </w:rPr>
      </w:pPr>
    </w:p>
    <w:p w:rsidR="00702304" w:rsidRDefault="00F32693">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 中国人民政治协商会议乌鲁木齐市新市区委员会概况</w:t>
      </w:r>
    </w:p>
    <w:p w:rsidR="00702304" w:rsidRDefault="00702304">
      <w:pPr>
        <w:widowControl/>
        <w:jc w:val="center"/>
        <w:outlineLvl w:val="1"/>
        <w:rPr>
          <w:rFonts w:ascii="宋体" w:hAnsi="宋体"/>
          <w:b/>
          <w:kern w:val="0"/>
          <w:sz w:val="32"/>
          <w:szCs w:val="32"/>
        </w:rPr>
      </w:pPr>
    </w:p>
    <w:p w:rsidR="00702304" w:rsidRDefault="00F3269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702304" w:rsidRDefault="00F32693">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 xml:space="preserve">中国人民政治协商会议是中国人民爱国统一战线的组织，是中国共产党领导的多党合作和政治协商的重要机构，是中国政治生活中发扬社会主义民主的一种重要形式。它根据中国共产党同各民主党派和无党派民主人士“长期共存、互相监督、肝胆相照、荣辱与共”的方针，对国家大政方针和群众生活的重要问题进行政治协商，并通过建议和批评发挥参政议政、民主监督的作用。根据政协章程的规定，人民政协的主要职能是政治协商和民主监督，组织参加政协的各党派、团体和各族各界人士参政议政。 </w:t>
      </w:r>
    </w:p>
    <w:p w:rsidR="00702304" w:rsidRDefault="00F32693">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1、围绕履行三项职能，召开全体会议、常委会议、主席会议、常委专题协商会等会议，就国家和地方大政方针以及政治、经济、文 化、社会生活中的重大问题；各党派参加人民政协的共同性事务，政协内部重要事项进行协商。</w:t>
      </w:r>
    </w:p>
    <w:p w:rsidR="00702304" w:rsidRDefault="00F32693">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2、政协全体会议、常委会议、主席会议向党委和政府提出提案。</w:t>
      </w:r>
    </w:p>
    <w:p w:rsidR="00702304" w:rsidRDefault="00F32693">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3、通过委员视察、委员提案、委员举报、大会发言、反映社情民意以及参加党委和政府组织的调查和检查活动等形式，对国家宪法、法律和法规的实施，重大方针政策的贯彻执行，本地区机关及其工作人员的工作，开展监督。</w:t>
      </w:r>
    </w:p>
    <w:p w:rsidR="00702304" w:rsidRDefault="00F32693">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4、对本地区政治、经济、文化、生态和社会生活中的重要问题和人民群众普遍关心的热点问题，开展调查研究、反映社情</w:t>
      </w:r>
      <w:r>
        <w:rPr>
          <w:rFonts w:ascii="仿宋" w:eastAsia="仿宋" w:hAnsi="仿宋"/>
          <w:sz w:val="32"/>
          <w:szCs w:val="32"/>
        </w:rPr>
        <w:lastRenderedPageBreak/>
        <w:t>民意，通过调研报告、提案、建议案等形式，向区有关单位和部门提出意见建议。</w:t>
      </w:r>
    </w:p>
    <w:p w:rsidR="00702304" w:rsidRDefault="00F3269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702304" w:rsidRDefault="00F32693">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w:t>
      </w:r>
      <w:r>
        <w:rPr>
          <w:rFonts w:ascii="仿宋_GB2312" w:eastAsia="仿宋_GB2312" w:hAnsi="黑体" w:cs="宋体" w:hint="eastAsia"/>
          <w:bCs/>
          <w:kern w:val="0"/>
          <w:sz w:val="32"/>
          <w:szCs w:val="32"/>
        </w:rPr>
        <w:t>无下属预算单位，下设2个处室，分别是：政协办公室和政协专委会工作科。</w:t>
      </w:r>
    </w:p>
    <w:p w:rsidR="00702304" w:rsidRDefault="00F32693">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编制数11 ，实有人数13 人，其中：在职13 人，增加0 人； 退休0 人，增加0 人；离休0 人，增加0人。</w:t>
      </w:r>
    </w:p>
    <w:p w:rsidR="00702304" w:rsidRDefault="00F32693" w:rsidP="00AF188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7812" w:type="dxa"/>
        <w:tblInd w:w="93" w:type="dxa"/>
        <w:tblLook w:val="04A0"/>
      </w:tblPr>
      <w:tblGrid>
        <w:gridCol w:w="1660"/>
        <w:gridCol w:w="1280"/>
        <w:gridCol w:w="1960"/>
        <w:gridCol w:w="2912"/>
      </w:tblGrid>
      <w:tr w:rsidR="00AF188D" w:rsidRPr="00AF188D" w:rsidTr="00AF188D">
        <w:trPr>
          <w:trHeight w:val="435"/>
        </w:trPr>
        <w:tc>
          <w:tcPr>
            <w:tcW w:w="1660" w:type="dxa"/>
            <w:tcBorders>
              <w:top w:val="nil"/>
              <w:left w:val="nil"/>
              <w:bottom w:val="nil"/>
              <w:right w:val="nil"/>
            </w:tcBorders>
            <w:shd w:val="clear" w:color="000000" w:fill="FFFFFF"/>
            <w:vAlign w:val="center"/>
            <w:hideMark/>
          </w:tcPr>
          <w:p w:rsidR="00AF188D" w:rsidRPr="00AF188D" w:rsidRDefault="00AF188D" w:rsidP="00AF188D">
            <w:pPr>
              <w:widowControl/>
              <w:jc w:val="left"/>
              <w:rPr>
                <w:rFonts w:ascii="Arial" w:hAnsi="Arial" w:cs="Arial"/>
                <w:b/>
                <w:bCs/>
                <w:kern w:val="0"/>
                <w:sz w:val="28"/>
                <w:szCs w:val="28"/>
              </w:rPr>
            </w:pPr>
            <w:r w:rsidRPr="00AF188D">
              <w:rPr>
                <w:rFonts w:ascii="Arial" w:hAnsi="Arial" w:cs="Arial"/>
                <w:b/>
                <w:bCs/>
                <w:kern w:val="0"/>
                <w:sz w:val="28"/>
                <w:szCs w:val="28"/>
              </w:rPr>
              <w:t xml:space="preserve">  </w:t>
            </w:r>
            <w:r w:rsidRPr="00AF188D">
              <w:rPr>
                <w:rFonts w:ascii="Arial" w:hAnsi="Arial" w:cs="Arial"/>
                <w:b/>
                <w:bCs/>
                <w:kern w:val="0"/>
                <w:sz w:val="28"/>
                <w:szCs w:val="28"/>
              </w:rPr>
              <w:t>表一：</w:t>
            </w:r>
          </w:p>
        </w:tc>
        <w:tc>
          <w:tcPr>
            <w:tcW w:w="128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2912"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624"/>
        </w:trPr>
        <w:tc>
          <w:tcPr>
            <w:tcW w:w="7812" w:type="dxa"/>
            <w:gridSpan w:val="4"/>
            <w:vMerge w:val="restart"/>
            <w:tcBorders>
              <w:top w:val="nil"/>
              <w:left w:val="nil"/>
              <w:bottom w:val="nil"/>
              <w:right w:val="nil"/>
            </w:tcBorders>
            <w:shd w:val="clear" w:color="000000" w:fill="FFFFFF"/>
            <w:vAlign w:val="center"/>
            <w:hideMark/>
          </w:tcPr>
          <w:p w:rsidR="00AF188D" w:rsidRPr="00AF188D" w:rsidRDefault="00AF188D" w:rsidP="00AF188D">
            <w:pPr>
              <w:widowControl/>
              <w:jc w:val="center"/>
              <w:rPr>
                <w:rFonts w:ascii="Arial" w:hAnsi="Arial" w:cs="Arial"/>
                <w:b/>
                <w:bCs/>
                <w:kern w:val="0"/>
                <w:sz w:val="28"/>
                <w:szCs w:val="28"/>
              </w:rPr>
            </w:pPr>
            <w:r w:rsidRPr="00AF188D">
              <w:rPr>
                <w:rFonts w:ascii="Arial" w:hAnsi="Arial" w:cs="Arial"/>
                <w:b/>
                <w:bCs/>
                <w:kern w:val="0"/>
                <w:sz w:val="28"/>
                <w:szCs w:val="28"/>
              </w:rPr>
              <w:t>部门收支总体情况表</w:t>
            </w:r>
          </w:p>
        </w:tc>
      </w:tr>
      <w:tr w:rsidR="00AF188D" w:rsidRPr="00AF188D" w:rsidTr="00AF188D">
        <w:trPr>
          <w:trHeight w:val="624"/>
        </w:trPr>
        <w:tc>
          <w:tcPr>
            <w:tcW w:w="7812" w:type="dxa"/>
            <w:gridSpan w:val="4"/>
            <w:vMerge/>
            <w:tcBorders>
              <w:top w:val="nil"/>
              <w:left w:val="nil"/>
              <w:bottom w:val="nil"/>
              <w:right w:val="nil"/>
            </w:tcBorders>
            <w:vAlign w:val="center"/>
            <w:hideMark/>
          </w:tcPr>
          <w:p w:rsidR="00AF188D" w:rsidRPr="00AF188D" w:rsidRDefault="00AF188D" w:rsidP="00AF188D">
            <w:pPr>
              <w:widowControl/>
              <w:jc w:val="left"/>
              <w:rPr>
                <w:rFonts w:ascii="Arial" w:hAnsi="Arial" w:cs="Arial"/>
                <w:b/>
                <w:bCs/>
                <w:kern w:val="0"/>
                <w:sz w:val="28"/>
                <w:szCs w:val="28"/>
              </w:rPr>
            </w:pPr>
          </w:p>
        </w:tc>
      </w:tr>
      <w:tr w:rsidR="00AF188D" w:rsidRPr="00AF188D" w:rsidTr="00AF188D">
        <w:trPr>
          <w:trHeight w:val="435"/>
        </w:trPr>
        <w:tc>
          <w:tcPr>
            <w:tcW w:w="4900" w:type="dxa"/>
            <w:gridSpan w:val="3"/>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编制部门</w:t>
            </w:r>
            <w:r w:rsidRPr="00AF188D">
              <w:rPr>
                <w:rFonts w:ascii="Arial" w:hAnsi="Arial" w:cs="Arial"/>
                <w:kern w:val="0"/>
                <w:sz w:val="20"/>
                <w:szCs w:val="20"/>
              </w:rPr>
              <w:t>:</w:t>
            </w:r>
            <w:r w:rsidRPr="00AF188D">
              <w:rPr>
                <w:rFonts w:ascii="Arial" w:hAnsi="Arial" w:cs="Arial"/>
                <w:kern w:val="0"/>
                <w:sz w:val="20"/>
                <w:szCs w:val="20"/>
              </w:rPr>
              <w:t>新市区政协</w:t>
            </w:r>
          </w:p>
        </w:tc>
        <w:tc>
          <w:tcPr>
            <w:tcW w:w="2912" w:type="dxa"/>
            <w:tcBorders>
              <w:top w:val="nil"/>
              <w:left w:val="nil"/>
              <w:bottom w:val="nil"/>
              <w:right w:val="nil"/>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单位：万元</w:t>
            </w:r>
            <w:r w:rsidRPr="00AF188D">
              <w:rPr>
                <w:rFonts w:ascii="Arial" w:hAnsi="Arial" w:cs="Arial"/>
                <w:kern w:val="0"/>
                <w:sz w:val="20"/>
                <w:szCs w:val="20"/>
              </w:rPr>
              <w:t xml:space="preserve">   </w:t>
            </w:r>
          </w:p>
        </w:tc>
      </w:tr>
      <w:tr w:rsidR="00AF188D" w:rsidRPr="00AF188D" w:rsidTr="00AF188D">
        <w:trPr>
          <w:trHeight w:val="435"/>
        </w:trPr>
        <w:tc>
          <w:tcPr>
            <w:tcW w:w="29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收</w:t>
            </w:r>
            <w:r w:rsidRPr="00AF188D">
              <w:rPr>
                <w:rFonts w:ascii="Arial" w:hAnsi="Arial" w:cs="Arial"/>
                <w:kern w:val="0"/>
                <w:sz w:val="20"/>
                <w:szCs w:val="20"/>
              </w:rPr>
              <w:t xml:space="preserve">     </w:t>
            </w:r>
            <w:r w:rsidRPr="00AF188D">
              <w:rPr>
                <w:rFonts w:ascii="Arial" w:hAnsi="Arial" w:cs="Arial"/>
                <w:kern w:val="0"/>
                <w:sz w:val="20"/>
                <w:szCs w:val="20"/>
              </w:rPr>
              <w:t>入</w:t>
            </w:r>
          </w:p>
        </w:tc>
        <w:tc>
          <w:tcPr>
            <w:tcW w:w="4872" w:type="dxa"/>
            <w:gridSpan w:val="2"/>
            <w:tcBorders>
              <w:top w:val="single" w:sz="4" w:space="0" w:color="000000"/>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支</w:t>
            </w:r>
            <w:r w:rsidRPr="00AF188D">
              <w:rPr>
                <w:rFonts w:ascii="Arial" w:hAnsi="Arial" w:cs="Arial"/>
                <w:kern w:val="0"/>
                <w:sz w:val="20"/>
                <w:szCs w:val="20"/>
              </w:rPr>
              <w:t xml:space="preserve">     </w:t>
            </w:r>
            <w:r w:rsidRPr="00AF188D">
              <w:rPr>
                <w:rFonts w:ascii="Arial" w:hAnsi="Arial" w:cs="Arial"/>
                <w:kern w:val="0"/>
                <w:sz w:val="20"/>
                <w:szCs w:val="20"/>
              </w:rPr>
              <w:t>出</w:t>
            </w:r>
          </w:p>
        </w:tc>
      </w:tr>
      <w:tr w:rsidR="00AF188D" w:rsidRPr="00AF188D" w:rsidTr="00AF188D">
        <w:trPr>
          <w:trHeight w:val="435"/>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项</w:t>
            </w:r>
            <w:r w:rsidRPr="00AF188D">
              <w:rPr>
                <w:rFonts w:ascii="Arial" w:hAnsi="Arial" w:cs="Arial"/>
                <w:kern w:val="0"/>
                <w:sz w:val="20"/>
                <w:szCs w:val="20"/>
              </w:rPr>
              <w:t xml:space="preserve">     </w:t>
            </w:r>
            <w:r w:rsidRPr="00AF188D">
              <w:rPr>
                <w:rFonts w:ascii="Arial" w:hAnsi="Arial" w:cs="Arial"/>
                <w:kern w:val="0"/>
                <w:sz w:val="20"/>
                <w:szCs w:val="20"/>
              </w:rPr>
              <w:t>目</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预算数</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功能分类</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预算数</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财政拨款（补助）</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 </w:t>
            </w:r>
            <w:r w:rsidRPr="00AF188D">
              <w:rPr>
                <w:rFonts w:ascii="Arial" w:hAnsi="Arial" w:cs="Arial"/>
                <w:kern w:val="0"/>
                <w:sz w:val="20"/>
                <w:szCs w:val="20"/>
              </w:rPr>
              <w:t>一般公共服务支出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一般公共预算</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202 </w:t>
            </w:r>
            <w:r w:rsidRPr="00AF188D">
              <w:rPr>
                <w:rFonts w:ascii="Arial" w:hAnsi="Arial" w:cs="Arial"/>
                <w:kern w:val="0"/>
                <w:sz w:val="20"/>
                <w:szCs w:val="20"/>
              </w:rPr>
              <w:t>外交支出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政府性基金预算</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203 </w:t>
            </w:r>
            <w:r w:rsidRPr="00AF188D">
              <w:rPr>
                <w:rFonts w:ascii="Arial" w:hAnsi="Arial" w:cs="Arial"/>
                <w:kern w:val="0"/>
                <w:sz w:val="20"/>
                <w:szCs w:val="20"/>
              </w:rPr>
              <w:t>国防支出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教育收费（财政专户）</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204 </w:t>
            </w:r>
            <w:r w:rsidRPr="00AF188D">
              <w:rPr>
                <w:rFonts w:ascii="Arial" w:hAnsi="Arial" w:cs="Arial"/>
                <w:kern w:val="0"/>
                <w:sz w:val="20"/>
                <w:szCs w:val="20"/>
              </w:rPr>
              <w:t>公共安全支出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事业收入</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205 </w:t>
            </w:r>
            <w:r w:rsidRPr="00AF188D">
              <w:rPr>
                <w:rFonts w:ascii="Arial" w:hAnsi="Arial" w:cs="Arial"/>
                <w:kern w:val="0"/>
                <w:sz w:val="20"/>
                <w:szCs w:val="20"/>
              </w:rPr>
              <w:t>教育支出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事业单位经营收入</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206 </w:t>
            </w:r>
            <w:r w:rsidRPr="00AF188D">
              <w:rPr>
                <w:rFonts w:ascii="Arial" w:hAnsi="Arial" w:cs="Arial"/>
                <w:kern w:val="0"/>
                <w:sz w:val="20"/>
                <w:szCs w:val="20"/>
              </w:rPr>
              <w:t>科学技术支出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其他收入</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207 </w:t>
            </w:r>
            <w:r w:rsidRPr="00AF188D">
              <w:rPr>
                <w:rFonts w:ascii="Arial" w:hAnsi="Arial" w:cs="Arial"/>
                <w:kern w:val="0"/>
                <w:sz w:val="20"/>
                <w:szCs w:val="20"/>
              </w:rPr>
              <w:t>文化旅游体育与传媒支出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用事业基金弥补收支差额</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208 </w:t>
            </w:r>
            <w:r w:rsidRPr="00AF188D">
              <w:rPr>
                <w:rFonts w:ascii="Arial" w:hAnsi="Arial" w:cs="Arial"/>
                <w:kern w:val="0"/>
                <w:sz w:val="20"/>
                <w:szCs w:val="20"/>
              </w:rPr>
              <w:t>社会保障和就业支出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lastRenderedPageBreak/>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209 </w:t>
            </w:r>
            <w:r w:rsidRPr="00AF188D">
              <w:rPr>
                <w:rFonts w:ascii="Arial" w:hAnsi="Arial" w:cs="Arial"/>
                <w:kern w:val="0"/>
                <w:sz w:val="20"/>
                <w:szCs w:val="20"/>
              </w:rPr>
              <w:t>社会保险基金支出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210 </w:t>
            </w:r>
            <w:r w:rsidRPr="00AF188D">
              <w:rPr>
                <w:rFonts w:ascii="Arial" w:hAnsi="Arial" w:cs="Arial"/>
                <w:kern w:val="0"/>
                <w:sz w:val="20"/>
                <w:szCs w:val="20"/>
              </w:rPr>
              <w:t>卫生健康支出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211 </w:t>
            </w:r>
            <w:r w:rsidRPr="00AF188D">
              <w:rPr>
                <w:rFonts w:ascii="Arial" w:hAnsi="Arial" w:cs="Arial"/>
                <w:kern w:val="0"/>
                <w:sz w:val="20"/>
                <w:szCs w:val="20"/>
              </w:rPr>
              <w:t>节能环保支出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212 </w:t>
            </w:r>
            <w:r w:rsidRPr="00AF188D">
              <w:rPr>
                <w:rFonts w:ascii="Arial" w:hAnsi="Arial" w:cs="Arial"/>
                <w:kern w:val="0"/>
                <w:sz w:val="20"/>
                <w:szCs w:val="20"/>
              </w:rPr>
              <w:t>城乡社区支出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213 </w:t>
            </w:r>
            <w:r w:rsidRPr="00AF188D">
              <w:rPr>
                <w:rFonts w:ascii="Arial" w:hAnsi="Arial" w:cs="Arial"/>
                <w:kern w:val="0"/>
                <w:sz w:val="20"/>
                <w:szCs w:val="20"/>
              </w:rPr>
              <w:t>农林水支出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214 </w:t>
            </w:r>
            <w:r w:rsidRPr="00AF188D">
              <w:rPr>
                <w:rFonts w:ascii="Arial" w:hAnsi="Arial" w:cs="Arial"/>
                <w:kern w:val="0"/>
                <w:sz w:val="20"/>
                <w:szCs w:val="20"/>
              </w:rPr>
              <w:t>交通运输支出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215 </w:t>
            </w:r>
            <w:r w:rsidRPr="00AF188D">
              <w:rPr>
                <w:rFonts w:ascii="Arial" w:hAnsi="Arial" w:cs="Arial"/>
                <w:kern w:val="0"/>
                <w:sz w:val="20"/>
                <w:szCs w:val="20"/>
              </w:rPr>
              <w:t>资源勘探信息等支出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216 </w:t>
            </w:r>
            <w:r w:rsidRPr="00AF188D">
              <w:rPr>
                <w:rFonts w:ascii="Arial" w:hAnsi="Arial" w:cs="Arial"/>
                <w:kern w:val="0"/>
                <w:sz w:val="20"/>
                <w:szCs w:val="20"/>
              </w:rPr>
              <w:t>商业服务业等支出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217 </w:t>
            </w:r>
            <w:r w:rsidRPr="00AF188D">
              <w:rPr>
                <w:rFonts w:ascii="Arial" w:hAnsi="Arial" w:cs="Arial"/>
                <w:kern w:val="0"/>
                <w:sz w:val="20"/>
                <w:szCs w:val="20"/>
              </w:rPr>
              <w:t>金融支出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219 </w:t>
            </w:r>
            <w:r w:rsidRPr="00AF188D">
              <w:rPr>
                <w:rFonts w:ascii="Arial" w:hAnsi="Arial" w:cs="Arial"/>
                <w:kern w:val="0"/>
                <w:sz w:val="20"/>
                <w:szCs w:val="20"/>
              </w:rPr>
              <w:t>援助其他地区支出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220 </w:t>
            </w:r>
            <w:r w:rsidRPr="00AF188D">
              <w:rPr>
                <w:rFonts w:ascii="Arial" w:hAnsi="Arial" w:cs="Arial"/>
                <w:kern w:val="0"/>
                <w:sz w:val="20"/>
                <w:szCs w:val="20"/>
              </w:rPr>
              <w:t>自然资源海洋气象等支出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221 </w:t>
            </w:r>
            <w:r w:rsidRPr="00AF188D">
              <w:rPr>
                <w:rFonts w:ascii="Arial" w:hAnsi="Arial" w:cs="Arial"/>
                <w:kern w:val="0"/>
                <w:sz w:val="20"/>
                <w:szCs w:val="20"/>
              </w:rPr>
              <w:t>住房保障支出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222 </w:t>
            </w:r>
            <w:r w:rsidRPr="00AF188D">
              <w:rPr>
                <w:rFonts w:ascii="Arial" w:hAnsi="Arial" w:cs="Arial"/>
                <w:kern w:val="0"/>
                <w:sz w:val="20"/>
                <w:szCs w:val="20"/>
              </w:rPr>
              <w:t>粮油物资储备支出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223 </w:t>
            </w:r>
            <w:r w:rsidRPr="00AF188D">
              <w:rPr>
                <w:rFonts w:ascii="Arial" w:hAnsi="Arial" w:cs="Arial"/>
                <w:kern w:val="0"/>
                <w:sz w:val="20"/>
                <w:szCs w:val="20"/>
              </w:rPr>
              <w:t>国有资本经营预算支出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224 </w:t>
            </w:r>
            <w:r w:rsidRPr="00AF188D">
              <w:rPr>
                <w:rFonts w:ascii="Arial" w:hAnsi="Arial" w:cs="Arial"/>
                <w:kern w:val="0"/>
                <w:sz w:val="20"/>
                <w:szCs w:val="20"/>
              </w:rPr>
              <w:t>灾害防治及应急管理支出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227 </w:t>
            </w:r>
            <w:r w:rsidRPr="00AF188D">
              <w:rPr>
                <w:rFonts w:ascii="Arial" w:hAnsi="Arial" w:cs="Arial"/>
                <w:kern w:val="0"/>
                <w:sz w:val="20"/>
                <w:szCs w:val="20"/>
              </w:rPr>
              <w:t>预备费</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229 </w:t>
            </w:r>
            <w:r w:rsidRPr="00AF188D">
              <w:rPr>
                <w:rFonts w:ascii="Arial" w:hAnsi="Arial" w:cs="Arial"/>
                <w:kern w:val="0"/>
                <w:sz w:val="20"/>
                <w:szCs w:val="20"/>
              </w:rPr>
              <w:t>其他支出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231 </w:t>
            </w:r>
            <w:r w:rsidRPr="00AF188D">
              <w:rPr>
                <w:rFonts w:ascii="Arial" w:hAnsi="Arial" w:cs="Arial"/>
                <w:kern w:val="0"/>
                <w:sz w:val="20"/>
                <w:szCs w:val="20"/>
              </w:rPr>
              <w:t>债务还本支出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232 </w:t>
            </w:r>
            <w:r w:rsidRPr="00AF188D">
              <w:rPr>
                <w:rFonts w:ascii="Arial" w:hAnsi="Arial" w:cs="Arial"/>
                <w:kern w:val="0"/>
                <w:sz w:val="20"/>
                <w:szCs w:val="20"/>
              </w:rPr>
              <w:t>债务付息支出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233 </w:t>
            </w:r>
            <w:r w:rsidRPr="00AF188D">
              <w:rPr>
                <w:rFonts w:ascii="Arial" w:hAnsi="Arial" w:cs="Arial"/>
                <w:kern w:val="0"/>
                <w:sz w:val="20"/>
                <w:szCs w:val="20"/>
              </w:rPr>
              <w:t>债务发行费用支出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小</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小</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r>
      <w:tr w:rsidR="00AF188D" w:rsidRPr="00AF188D" w:rsidTr="00AF188D">
        <w:trPr>
          <w:trHeight w:val="78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单位上年结余（不包括国库集中支付额度结余）</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230 </w:t>
            </w:r>
            <w:r w:rsidRPr="00AF188D">
              <w:rPr>
                <w:rFonts w:ascii="Arial" w:hAnsi="Arial" w:cs="Arial"/>
                <w:kern w:val="0"/>
                <w:sz w:val="20"/>
                <w:szCs w:val="20"/>
              </w:rPr>
              <w:t>转移性支出</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6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收</w:t>
            </w:r>
            <w:r w:rsidRPr="00AF188D">
              <w:rPr>
                <w:rFonts w:ascii="Arial" w:hAnsi="Arial" w:cs="Arial"/>
                <w:kern w:val="0"/>
                <w:sz w:val="20"/>
                <w:szCs w:val="20"/>
              </w:rPr>
              <w:t xml:space="preserve"> </w:t>
            </w:r>
            <w:r w:rsidRPr="00AF188D">
              <w:rPr>
                <w:rFonts w:ascii="Arial" w:hAnsi="Arial" w:cs="Arial"/>
                <w:kern w:val="0"/>
                <w:sz w:val="20"/>
                <w:szCs w:val="20"/>
              </w:rPr>
              <w:t>入</w:t>
            </w:r>
            <w:r w:rsidRPr="00AF188D">
              <w:rPr>
                <w:rFonts w:ascii="Arial" w:hAnsi="Arial" w:cs="Arial"/>
                <w:kern w:val="0"/>
                <w:sz w:val="20"/>
                <w:szCs w:val="20"/>
              </w:rPr>
              <w:t xml:space="preserve"> </w:t>
            </w:r>
            <w:r w:rsidRPr="00AF188D">
              <w:rPr>
                <w:rFonts w:ascii="Arial" w:hAnsi="Arial" w:cs="Arial"/>
                <w:kern w:val="0"/>
                <w:sz w:val="20"/>
                <w:szCs w:val="20"/>
              </w:rPr>
              <w:t>总</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2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6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支</w:t>
            </w:r>
            <w:r w:rsidRPr="00AF188D">
              <w:rPr>
                <w:rFonts w:ascii="Arial" w:hAnsi="Arial" w:cs="Arial"/>
                <w:kern w:val="0"/>
                <w:sz w:val="20"/>
                <w:szCs w:val="20"/>
              </w:rPr>
              <w:t xml:space="preserve"> </w:t>
            </w:r>
            <w:r w:rsidRPr="00AF188D">
              <w:rPr>
                <w:rFonts w:ascii="Arial" w:hAnsi="Arial" w:cs="Arial"/>
                <w:kern w:val="0"/>
                <w:sz w:val="20"/>
                <w:szCs w:val="20"/>
              </w:rPr>
              <w:t>出</w:t>
            </w:r>
            <w:r w:rsidRPr="00AF188D">
              <w:rPr>
                <w:rFonts w:ascii="Arial" w:hAnsi="Arial" w:cs="Arial"/>
                <w:kern w:val="0"/>
                <w:sz w:val="20"/>
                <w:szCs w:val="20"/>
              </w:rPr>
              <w:t xml:space="preserve"> </w:t>
            </w:r>
            <w:r w:rsidRPr="00AF188D">
              <w:rPr>
                <w:rFonts w:ascii="Arial" w:hAnsi="Arial" w:cs="Arial"/>
                <w:kern w:val="0"/>
                <w:sz w:val="20"/>
                <w:szCs w:val="20"/>
              </w:rPr>
              <w:t>总</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2912"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702304">
      <w:pPr>
        <w:widowControl/>
        <w:jc w:val="left"/>
        <w:outlineLvl w:val="1"/>
        <w:rPr>
          <w:rFonts w:ascii="仿宋_GB2312" w:eastAsia="仿宋_GB2312" w:hAnsi="宋体"/>
          <w:b/>
          <w:kern w:val="0"/>
          <w:sz w:val="32"/>
          <w:szCs w:val="32"/>
        </w:rPr>
      </w:pPr>
    </w:p>
    <w:tbl>
      <w:tblPr>
        <w:tblW w:w="8804" w:type="dxa"/>
        <w:tblInd w:w="93" w:type="dxa"/>
        <w:tblLook w:val="04A0"/>
      </w:tblPr>
      <w:tblGrid>
        <w:gridCol w:w="731"/>
        <w:gridCol w:w="439"/>
        <w:gridCol w:w="440"/>
        <w:gridCol w:w="1315"/>
        <w:gridCol w:w="1011"/>
        <w:gridCol w:w="869"/>
        <w:gridCol w:w="416"/>
        <w:gridCol w:w="483"/>
        <w:gridCol w:w="416"/>
        <w:gridCol w:w="416"/>
        <w:gridCol w:w="467"/>
        <w:gridCol w:w="416"/>
        <w:gridCol w:w="1385"/>
      </w:tblGrid>
      <w:tr w:rsidR="00AF188D" w:rsidRPr="00AF188D" w:rsidTr="00AF188D">
        <w:trPr>
          <w:trHeight w:val="435"/>
        </w:trPr>
        <w:tc>
          <w:tcPr>
            <w:tcW w:w="1610" w:type="dxa"/>
            <w:gridSpan w:val="3"/>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b/>
                <w:bCs/>
                <w:kern w:val="0"/>
                <w:sz w:val="26"/>
                <w:szCs w:val="26"/>
              </w:rPr>
            </w:pPr>
            <w:r w:rsidRPr="00AF188D">
              <w:rPr>
                <w:rFonts w:ascii="Arial" w:hAnsi="Arial" w:cs="Arial"/>
                <w:b/>
                <w:bCs/>
                <w:kern w:val="0"/>
                <w:sz w:val="26"/>
                <w:szCs w:val="26"/>
              </w:rPr>
              <w:lastRenderedPageBreak/>
              <w:t>表二：</w:t>
            </w:r>
          </w:p>
        </w:tc>
        <w:tc>
          <w:tcPr>
            <w:tcW w:w="1315"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11"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869"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810"/>
        </w:trPr>
        <w:tc>
          <w:tcPr>
            <w:tcW w:w="6536" w:type="dxa"/>
            <w:gridSpan w:val="10"/>
            <w:tcBorders>
              <w:top w:val="nil"/>
              <w:left w:val="nil"/>
              <w:bottom w:val="nil"/>
              <w:right w:val="nil"/>
            </w:tcBorders>
            <w:shd w:val="clear" w:color="000000" w:fill="FFFFFF"/>
            <w:vAlign w:val="center"/>
            <w:hideMark/>
          </w:tcPr>
          <w:p w:rsidR="00AF188D" w:rsidRPr="00AF188D" w:rsidRDefault="00AF188D" w:rsidP="00AF188D">
            <w:pPr>
              <w:widowControl/>
              <w:jc w:val="center"/>
              <w:rPr>
                <w:rFonts w:ascii="Arial" w:hAnsi="Arial" w:cs="Arial"/>
                <w:b/>
                <w:bCs/>
                <w:kern w:val="0"/>
                <w:sz w:val="30"/>
                <w:szCs w:val="30"/>
              </w:rPr>
            </w:pPr>
            <w:r w:rsidRPr="00AF188D">
              <w:rPr>
                <w:rFonts w:ascii="Arial" w:hAnsi="Arial" w:cs="Arial"/>
                <w:b/>
                <w:bCs/>
                <w:kern w:val="0"/>
                <w:sz w:val="30"/>
                <w:szCs w:val="30"/>
              </w:rPr>
              <w:t>部门收入总体情况表</w:t>
            </w:r>
          </w:p>
        </w:tc>
        <w:tc>
          <w:tcPr>
            <w:tcW w:w="467"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435"/>
        </w:trPr>
        <w:tc>
          <w:tcPr>
            <w:tcW w:w="6536" w:type="dxa"/>
            <w:gridSpan w:val="10"/>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填报部门</w:t>
            </w:r>
            <w:r w:rsidRPr="00AF188D">
              <w:rPr>
                <w:rFonts w:ascii="Arial" w:hAnsi="Arial" w:cs="Arial"/>
                <w:kern w:val="0"/>
                <w:sz w:val="20"/>
                <w:szCs w:val="20"/>
              </w:rPr>
              <w:t>:</w:t>
            </w:r>
            <w:r w:rsidRPr="00AF188D">
              <w:rPr>
                <w:rFonts w:ascii="Arial" w:hAnsi="Arial" w:cs="Arial"/>
                <w:kern w:val="0"/>
                <w:sz w:val="20"/>
                <w:szCs w:val="20"/>
              </w:rPr>
              <w:t>新市区政协</w:t>
            </w:r>
          </w:p>
        </w:tc>
        <w:tc>
          <w:tcPr>
            <w:tcW w:w="467"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801" w:type="dxa"/>
            <w:gridSpan w:val="2"/>
            <w:tcBorders>
              <w:top w:val="nil"/>
              <w:left w:val="nil"/>
              <w:bottom w:val="nil"/>
              <w:right w:val="nil"/>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单位：万元</w:t>
            </w:r>
          </w:p>
        </w:tc>
      </w:tr>
      <w:tr w:rsidR="00AF188D" w:rsidRPr="00AF188D" w:rsidTr="00AF188D">
        <w:trPr>
          <w:trHeight w:val="435"/>
        </w:trPr>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类</w:t>
            </w:r>
          </w:p>
        </w:tc>
        <w:tc>
          <w:tcPr>
            <w:tcW w:w="131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预算单位</w:t>
            </w:r>
          </w:p>
        </w:tc>
        <w:tc>
          <w:tcPr>
            <w:tcW w:w="1011"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总计</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一般公共预算拨款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政府性基金预算</w:t>
            </w:r>
          </w:p>
        </w:tc>
        <w:tc>
          <w:tcPr>
            <w:tcW w:w="48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教育收费</w:t>
            </w:r>
            <w:r w:rsidRPr="00AF188D">
              <w:rPr>
                <w:rFonts w:ascii="Arial" w:hAnsi="Arial" w:cs="Arial"/>
                <w:kern w:val="0"/>
                <w:sz w:val="20"/>
                <w:szCs w:val="20"/>
              </w:rPr>
              <w:t>(</w:t>
            </w:r>
            <w:r w:rsidRPr="00AF188D">
              <w:rPr>
                <w:rFonts w:ascii="Arial" w:hAnsi="Arial" w:cs="Arial"/>
                <w:kern w:val="0"/>
                <w:sz w:val="20"/>
                <w:szCs w:val="20"/>
              </w:rPr>
              <w:t>财政专户</w:t>
            </w:r>
            <w:r w:rsidRPr="00AF188D">
              <w:rPr>
                <w:rFonts w:ascii="Arial" w:hAnsi="Arial" w:cs="Arial"/>
                <w:kern w:val="0"/>
                <w:sz w:val="20"/>
                <w:szCs w:val="20"/>
              </w:rPr>
              <w:t>)</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事业收入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事业单位经营收入</w:t>
            </w:r>
          </w:p>
        </w:tc>
        <w:tc>
          <w:tcPr>
            <w:tcW w:w="46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其他收入</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用事业基金弥补收支差额</w:t>
            </w:r>
          </w:p>
        </w:tc>
        <w:tc>
          <w:tcPr>
            <w:tcW w:w="138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财政拨款结转结余</w:t>
            </w:r>
            <w:r w:rsidRPr="00AF188D">
              <w:rPr>
                <w:rFonts w:ascii="Arial" w:hAnsi="Arial" w:cs="Arial"/>
                <w:kern w:val="0"/>
                <w:sz w:val="20"/>
                <w:szCs w:val="20"/>
              </w:rPr>
              <w:t>(</w:t>
            </w:r>
            <w:r w:rsidRPr="00AF188D">
              <w:rPr>
                <w:rFonts w:ascii="Arial" w:hAnsi="Arial" w:cs="Arial"/>
                <w:kern w:val="0"/>
                <w:sz w:val="20"/>
                <w:szCs w:val="20"/>
              </w:rPr>
              <w:t>小计</w:t>
            </w:r>
            <w:r w:rsidRPr="00AF188D">
              <w:rPr>
                <w:rFonts w:ascii="Arial" w:hAnsi="Arial" w:cs="Arial"/>
                <w:kern w:val="0"/>
                <w:sz w:val="20"/>
                <w:szCs w:val="20"/>
              </w:rPr>
              <w:t>)</w:t>
            </w:r>
          </w:p>
        </w:tc>
      </w:tr>
      <w:tr w:rsidR="00AF188D" w:rsidRPr="00AF188D" w:rsidTr="00AF188D">
        <w:trPr>
          <w:trHeight w:val="2190"/>
        </w:trPr>
        <w:tc>
          <w:tcPr>
            <w:tcW w:w="731" w:type="dxa"/>
            <w:tcBorders>
              <w:top w:val="nil"/>
              <w:left w:val="single" w:sz="4" w:space="0" w:color="000000"/>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类</w:t>
            </w:r>
          </w:p>
        </w:tc>
        <w:tc>
          <w:tcPr>
            <w:tcW w:w="439" w:type="dxa"/>
            <w:tcBorders>
              <w:top w:val="nil"/>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款</w:t>
            </w:r>
          </w:p>
        </w:tc>
        <w:tc>
          <w:tcPr>
            <w:tcW w:w="440" w:type="dxa"/>
            <w:tcBorders>
              <w:top w:val="nil"/>
              <w:left w:val="nil"/>
              <w:bottom w:val="single" w:sz="4" w:space="0" w:color="000000"/>
              <w:right w:val="single" w:sz="4" w:space="0" w:color="000000"/>
            </w:tcBorders>
            <w:shd w:val="clear" w:color="000000" w:fill="FFFFFF"/>
            <w:vAlign w:val="center"/>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项</w:t>
            </w:r>
          </w:p>
        </w:tc>
        <w:tc>
          <w:tcPr>
            <w:tcW w:w="1315"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1011"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83"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67"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c>
          <w:tcPr>
            <w:tcW w:w="1385" w:type="dxa"/>
            <w:vMerge/>
            <w:tcBorders>
              <w:top w:val="single" w:sz="4" w:space="0" w:color="000000"/>
              <w:left w:val="nil"/>
              <w:bottom w:val="single" w:sz="4" w:space="0" w:color="000000"/>
              <w:right w:val="single" w:sz="4" w:space="0" w:color="000000"/>
            </w:tcBorders>
            <w:vAlign w:val="center"/>
            <w:hideMark/>
          </w:tcPr>
          <w:p w:rsidR="00AF188D" w:rsidRPr="00AF188D" w:rsidRDefault="00AF188D" w:rsidP="00AF188D">
            <w:pPr>
              <w:widowControl/>
              <w:jc w:val="left"/>
              <w:rPr>
                <w:rFonts w:ascii="Arial" w:hAnsi="Arial" w:cs="Arial"/>
                <w:kern w:val="0"/>
                <w:sz w:val="20"/>
                <w:szCs w:val="20"/>
              </w:rPr>
            </w:pP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新市区政协</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208</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社会保障和就业支出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78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208</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05</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行政事业单位离退休</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78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208</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05</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05</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机关事业单位基本养老保险缴费支出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204</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公共安全支出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204</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99</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其他公共安全支出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78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204</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99</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01</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其他公共安全支出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201</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一般公共服务支出</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02</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政协事务</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02</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04</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政协会议</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20.00</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20.00</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78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02</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02</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一般行政管理事务</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23.00</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23.00</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02</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01</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行政运行</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202.88</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202.88</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总计</w:t>
            </w:r>
            <w:r w:rsidRPr="00AF188D">
              <w:rPr>
                <w:rFonts w:ascii="Arial" w:hAnsi="Arial" w:cs="Arial"/>
                <w:kern w:val="0"/>
                <w:sz w:val="20"/>
                <w:szCs w:val="20"/>
              </w:rPr>
              <w:t>:</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731"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lastRenderedPageBreak/>
              <w:t xml:space="preserve">　</w:t>
            </w:r>
          </w:p>
        </w:tc>
        <w:tc>
          <w:tcPr>
            <w:tcW w:w="43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11"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869"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8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702304" w:rsidRDefault="00F3269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702304" w:rsidRDefault="00F32693">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编制部门：中国人民政治协商会议乌鲁木齐市新市区委员会        单位：万元</w:t>
      </w:r>
    </w:p>
    <w:tbl>
      <w:tblPr>
        <w:tblW w:w="9229" w:type="dxa"/>
        <w:tblInd w:w="93" w:type="dxa"/>
        <w:tblLayout w:type="fixed"/>
        <w:tblLook w:val="04A0"/>
      </w:tblPr>
      <w:tblGrid>
        <w:gridCol w:w="401"/>
        <w:gridCol w:w="400"/>
        <w:gridCol w:w="400"/>
        <w:gridCol w:w="2604"/>
        <w:gridCol w:w="1855"/>
        <w:gridCol w:w="1856"/>
        <w:gridCol w:w="1713"/>
      </w:tblGrid>
      <w:tr w:rsidR="00702304">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702304">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02304">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一般公共服务支出　</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245.88　</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198.56　</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47.32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政协事务</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245.88</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198.56</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47.32</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行政运行</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202.88</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198.56</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4.32</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201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02</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02</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一般行政管理事务</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23.00</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23.00</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201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02</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04</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政协会议</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20.00</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20.00</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204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公共安全支出</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204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99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其他公共安全支出</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204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99</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01</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其他公共安全支出</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社会保障和就业支出</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05</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行政事业单位离退休</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20.50</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20.50</w:t>
            </w:r>
          </w:p>
        </w:tc>
        <w:tc>
          <w:tcPr>
            <w:tcW w:w="1713"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b/>
                <w:bCs/>
                <w:color w:val="000000"/>
                <w:kern w:val="0"/>
                <w:sz w:val="22"/>
                <w:szCs w:val="22"/>
              </w:rPr>
            </w:pPr>
          </w:p>
        </w:tc>
      </w:tr>
      <w:tr w:rsidR="00702304">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rsidR="00702304" w:rsidRDefault="00F3269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rsidR="00702304" w:rsidRDefault="00F3269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293.11</w:t>
            </w:r>
          </w:p>
        </w:tc>
        <w:tc>
          <w:tcPr>
            <w:tcW w:w="1856"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245.79　</w:t>
            </w:r>
          </w:p>
        </w:tc>
        <w:tc>
          <w:tcPr>
            <w:tcW w:w="1713"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47.32</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702304" w:rsidP="00AF188D">
      <w:pPr>
        <w:widowControl/>
        <w:spacing w:beforeLines="50"/>
        <w:outlineLvl w:val="1"/>
        <w:rPr>
          <w:rFonts w:ascii="仿宋_GB2312" w:eastAsia="仿宋_GB2312" w:hAnsi="宋体"/>
          <w:b/>
          <w:kern w:val="0"/>
          <w:sz w:val="32"/>
          <w:szCs w:val="32"/>
        </w:rPr>
      </w:pPr>
    </w:p>
    <w:tbl>
      <w:tblPr>
        <w:tblW w:w="8095" w:type="dxa"/>
        <w:tblInd w:w="93" w:type="dxa"/>
        <w:tblLook w:val="04A0"/>
      </w:tblPr>
      <w:tblGrid>
        <w:gridCol w:w="1560"/>
        <w:gridCol w:w="1000"/>
        <w:gridCol w:w="1900"/>
        <w:gridCol w:w="1080"/>
        <w:gridCol w:w="1180"/>
        <w:gridCol w:w="1375"/>
      </w:tblGrid>
      <w:tr w:rsidR="00AF188D" w:rsidRPr="00AF188D" w:rsidTr="00AF188D">
        <w:trPr>
          <w:trHeight w:val="435"/>
        </w:trPr>
        <w:tc>
          <w:tcPr>
            <w:tcW w:w="1560" w:type="dxa"/>
            <w:tcBorders>
              <w:top w:val="nil"/>
              <w:left w:val="nil"/>
              <w:bottom w:val="nil"/>
              <w:right w:val="nil"/>
            </w:tcBorders>
            <w:shd w:val="clear" w:color="000000" w:fill="FFFFFF"/>
            <w:vAlign w:val="center"/>
            <w:hideMark/>
          </w:tcPr>
          <w:p w:rsidR="00AF188D" w:rsidRPr="00AF188D" w:rsidRDefault="00AF188D" w:rsidP="00AF188D">
            <w:pPr>
              <w:widowControl/>
              <w:jc w:val="left"/>
              <w:rPr>
                <w:rFonts w:ascii="Arial" w:hAnsi="Arial" w:cs="Arial"/>
                <w:b/>
                <w:bCs/>
                <w:kern w:val="0"/>
                <w:sz w:val="24"/>
              </w:rPr>
            </w:pPr>
            <w:r w:rsidRPr="00AF188D">
              <w:rPr>
                <w:rFonts w:ascii="Arial" w:hAnsi="Arial" w:cs="Arial"/>
                <w:b/>
                <w:bCs/>
                <w:kern w:val="0"/>
                <w:sz w:val="24"/>
              </w:rPr>
              <w:t>表四：</w:t>
            </w:r>
          </w:p>
        </w:tc>
        <w:tc>
          <w:tcPr>
            <w:tcW w:w="100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8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624"/>
        </w:trPr>
        <w:tc>
          <w:tcPr>
            <w:tcW w:w="8095" w:type="dxa"/>
            <w:gridSpan w:val="6"/>
            <w:vMerge w:val="restart"/>
            <w:tcBorders>
              <w:top w:val="nil"/>
              <w:left w:val="nil"/>
              <w:bottom w:val="nil"/>
              <w:right w:val="nil"/>
            </w:tcBorders>
            <w:shd w:val="clear" w:color="000000" w:fill="FFFFFF"/>
            <w:vAlign w:val="center"/>
            <w:hideMark/>
          </w:tcPr>
          <w:p w:rsidR="00AF188D" w:rsidRPr="00AF188D" w:rsidRDefault="00AF188D" w:rsidP="00AF188D">
            <w:pPr>
              <w:widowControl/>
              <w:jc w:val="center"/>
              <w:rPr>
                <w:rFonts w:ascii="Arial" w:hAnsi="Arial" w:cs="Arial"/>
                <w:b/>
                <w:bCs/>
                <w:kern w:val="0"/>
                <w:sz w:val="28"/>
                <w:szCs w:val="28"/>
              </w:rPr>
            </w:pPr>
            <w:r w:rsidRPr="00AF188D">
              <w:rPr>
                <w:rFonts w:ascii="Arial" w:hAnsi="Arial" w:cs="Arial"/>
                <w:b/>
                <w:bCs/>
                <w:kern w:val="0"/>
                <w:sz w:val="28"/>
                <w:szCs w:val="28"/>
              </w:rPr>
              <w:t>财政拨款收支预算总体情况表</w:t>
            </w:r>
          </w:p>
        </w:tc>
      </w:tr>
      <w:tr w:rsidR="00AF188D" w:rsidRPr="00AF188D" w:rsidTr="00AF188D">
        <w:trPr>
          <w:trHeight w:val="624"/>
        </w:trPr>
        <w:tc>
          <w:tcPr>
            <w:tcW w:w="8095" w:type="dxa"/>
            <w:gridSpan w:val="6"/>
            <w:vMerge/>
            <w:tcBorders>
              <w:top w:val="nil"/>
              <w:left w:val="nil"/>
              <w:bottom w:val="nil"/>
              <w:right w:val="nil"/>
            </w:tcBorders>
            <w:vAlign w:val="center"/>
            <w:hideMark/>
          </w:tcPr>
          <w:p w:rsidR="00AF188D" w:rsidRPr="00AF188D" w:rsidRDefault="00AF188D" w:rsidP="00AF188D">
            <w:pPr>
              <w:widowControl/>
              <w:jc w:val="left"/>
              <w:rPr>
                <w:rFonts w:ascii="Arial" w:hAnsi="Arial" w:cs="Arial"/>
                <w:b/>
                <w:bCs/>
                <w:kern w:val="0"/>
                <w:sz w:val="28"/>
                <w:szCs w:val="28"/>
              </w:rPr>
            </w:pPr>
          </w:p>
        </w:tc>
      </w:tr>
      <w:tr w:rsidR="00AF188D" w:rsidRPr="00AF188D" w:rsidTr="00AF188D">
        <w:trPr>
          <w:trHeight w:val="435"/>
        </w:trPr>
        <w:tc>
          <w:tcPr>
            <w:tcW w:w="4460" w:type="dxa"/>
            <w:gridSpan w:val="3"/>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填报部门</w:t>
            </w:r>
            <w:r w:rsidRPr="00AF188D">
              <w:rPr>
                <w:rFonts w:ascii="Arial" w:hAnsi="Arial" w:cs="Arial"/>
                <w:kern w:val="0"/>
                <w:sz w:val="20"/>
                <w:szCs w:val="20"/>
              </w:rPr>
              <w:t>:</w:t>
            </w:r>
            <w:r w:rsidRPr="00AF188D">
              <w:rPr>
                <w:rFonts w:ascii="Arial" w:hAnsi="Arial" w:cs="Arial"/>
                <w:kern w:val="0"/>
                <w:sz w:val="20"/>
                <w:szCs w:val="20"/>
              </w:rPr>
              <w:t>新市区政协</w:t>
            </w:r>
          </w:p>
        </w:tc>
        <w:tc>
          <w:tcPr>
            <w:tcW w:w="1080" w:type="dxa"/>
            <w:tcBorders>
              <w:top w:val="nil"/>
              <w:left w:val="nil"/>
              <w:bottom w:val="nil"/>
              <w:right w:val="nil"/>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2555" w:type="dxa"/>
            <w:gridSpan w:val="2"/>
            <w:tcBorders>
              <w:top w:val="nil"/>
              <w:left w:val="nil"/>
              <w:bottom w:val="nil"/>
              <w:right w:val="nil"/>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单位：万元</w:t>
            </w:r>
            <w:r w:rsidRPr="00AF188D">
              <w:rPr>
                <w:rFonts w:ascii="Arial" w:hAnsi="Arial" w:cs="Arial"/>
                <w:kern w:val="0"/>
                <w:sz w:val="20"/>
                <w:szCs w:val="20"/>
              </w:rPr>
              <w:t xml:space="preserve">   </w:t>
            </w:r>
          </w:p>
        </w:tc>
      </w:tr>
      <w:tr w:rsidR="00AF188D" w:rsidRPr="00AF188D" w:rsidTr="00AF188D">
        <w:trPr>
          <w:trHeight w:val="435"/>
        </w:trPr>
        <w:tc>
          <w:tcPr>
            <w:tcW w:w="25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财政拨款收入</w:t>
            </w:r>
          </w:p>
        </w:tc>
        <w:tc>
          <w:tcPr>
            <w:tcW w:w="5535" w:type="dxa"/>
            <w:gridSpan w:val="4"/>
            <w:tcBorders>
              <w:top w:val="single" w:sz="4" w:space="0" w:color="000000"/>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财政拨款支出</w:t>
            </w:r>
          </w:p>
        </w:tc>
      </w:tr>
      <w:tr w:rsidR="00AF188D" w:rsidRPr="00AF188D" w:rsidTr="00AF188D">
        <w:trPr>
          <w:trHeight w:val="435"/>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lastRenderedPageBreak/>
              <w:t>项</w:t>
            </w:r>
            <w:r w:rsidRPr="00AF188D">
              <w:rPr>
                <w:rFonts w:ascii="Arial" w:hAnsi="Arial" w:cs="Arial"/>
                <w:kern w:val="0"/>
                <w:sz w:val="20"/>
                <w:szCs w:val="20"/>
              </w:rPr>
              <w:t xml:space="preserve">     </w:t>
            </w:r>
            <w:r w:rsidRPr="00AF188D">
              <w:rPr>
                <w:rFonts w:ascii="Arial" w:hAnsi="Arial" w:cs="Arial"/>
                <w:kern w:val="0"/>
                <w:sz w:val="20"/>
                <w:szCs w:val="20"/>
              </w:rPr>
              <w:t>目</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合计</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功能分类</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合计</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一般公共预算</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center"/>
              <w:rPr>
                <w:rFonts w:ascii="Arial" w:hAnsi="Arial" w:cs="Arial"/>
                <w:kern w:val="0"/>
                <w:sz w:val="20"/>
                <w:szCs w:val="20"/>
              </w:rPr>
            </w:pPr>
            <w:r w:rsidRPr="00AF188D">
              <w:rPr>
                <w:rFonts w:ascii="Arial" w:hAnsi="Arial" w:cs="Arial"/>
                <w:kern w:val="0"/>
                <w:sz w:val="20"/>
                <w:szCs w:val="20"/>
              </w:rPr>
              <w:t>政府基金预算</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财政拨款（补助）</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201 </w:t>
            </w:r>
            <w:r w:rsidRPr="00AF188D">
              <w:rPr>
                <w:rFonts w:ascii="Arial" w:hAnsi="Arial" w:cs="Arial"/>
                <w:kern w:val="0"/>
                <w:sz w:val="20"/>
                <w:szCs w:val="20"/>
              </w:rPr>
              <w:t>一般公共服务支出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245.88</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一般公共预算</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202 </w:t>
            </w:r>
            <w:r w:rsidRPr="00AF188D">
              <w:rPr>
                <w:rFonts w:ascii="Arial" w:hAnsi="Arial" w:cs="Arial"/>
                <w:kern w:val="0"/>
                <w:sz w:val="20"/>
                <w:szCs w:val="20"/>
              </w:rPr>
              <w:t>外交支出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政府性基金预算</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203 </w:t>
            </w:r>
            <w:r w:rsidRPr="00AF188D">
              <w:rPr>
                <w:rFonts w:ascii="Arial" w:hAnsi="Arial" w:cs="Arial"/>
                <w:kern w:val="0"/>
                <w:sz w:val="20"/>
                <w:szCs w:val="20"/>
              </w:rPr>
              <w:t>国防支出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204 </w:t>
            </w:r>
            <w:r w:rsidRPr="00AF188D">
              <w:rPr>
                <w:rFonts w:ascii="Arial" w:hAnsi="Arial" w:cs="Arial"/>
                <w:kern w:val="0"/>
                <w:sz w:val="20"/>
                <w:szCs w:val="20"/>
              </w:rPr>
              <w:t>公共安全支出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26.73</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205 </w:t>
            </w:r>
            <w:r w:rsidRPr="00AF188D">
              <w:rPr>
                <w:rFonts w:ascii="Arial" w:hAnsi="Arial" w:cs="Arial"/>
                <w:kern w:val="0"/>
                <w:sz w:val="20"/>
                <w:szCs w:val="20"/>
              </w:rPr>
              <w:t>教育支出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206 </w:t>
            </w:r>
            <w:r w:rsidRPr="00AF188D">
              <w:rPr>
                <w:rFonts w:ascii="Arial" w:hAnsi="Arial" w:cs="Arial"/>
                <w:kern w:val="0"/>
                <w:sz w:val="20"/>
                <w:szCs w:val="20"/>
              </w:rPr>
              <w:t>科学技术支出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207 </w:t>
            </w:r>
            <w:r w:rsidRPr="00AF188D">
              <w:rPr>
                <w:rFonts w:ascii="Arial" w:hAnsi="Arial" w:cs="Arial"/>
                <w:kern w:val="0"/>
                <w:sz w:val="20"/>
                <w:szCs w:val="20"/>
              </w:rPr>
              <w:t>文化旅游体育与传媒支出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208 </w:t>
            </w:r>
            <w:r w:rsidRPr="00AF188D">
              <w:rPr>
                <w:rFonts w:ascii="Arial" w:hAnsi="Arial" w:cs="Arial"/>
                <w:kern w:val="0"/>
                <w:sz w:val="20"/>
                <w:szCs w:val="20"/>
              </w:rPr>
              <w:t>社会保障和就业支出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20.50</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209 </w:t>
            </w:r>
            <w:r w:rsidRPr="00AF188D">
              <w:rPr>
                <w:rFonts w:ascii="Arial" w:hAnsi="Arial" w:cs="Arial"/>
                <w:kern w:val="0"/>
                <w:sz w:val="20"/>
                <w:szCs w:val="20"/>
              </w:rPr>
              <w:t>社会保险基金支出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210 </w:t>
            </w:r>
            <w:r w:rsidRPr="00AF188D">
              <w:rPr>
                <w:rFonts w:ascii="Arial" w:hAnsi="Arial" w:cs="Arial"/>
                <w:kern w:val="0"/>
                <w:sz w:val="20"/>
                <w:szCs w:val="20"/>
              </w:rPr>
              <w:t>卫生健康支出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211 </w:t>
            </w:r>
            <w:r w:rsidRPr="00AF188D">
              <w:rPr>
                <w:rFonts w:ascii="Arial" w:hAnsi="Arial" w:cs="Arial"/>
                <w:kern w:val="0"/>
                <w:sz w:val="20"/>
                <w:szCs w:val="20"/>
              </w:rPr>
              <w:t>节能环保支出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212 </w:t>
            </w:r>
            <w:r w:rsidRPr="00AF188D">
              <w:rPr>
                <w:rFonts w:ascii="Arial" w:hAnsi="Arial" w:cs="Arial"/>
                <w:kern w:val="0"/>
                <w:sz w:val="20"/>
                <w:szCs w:val="20"/>
              </w:rPr>
              <w:t>城乡社区支出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213 </w:t>
            </w:r>
            <w:r w:rsidRPr="00AF188D">
              <w:rPr>
                <w:rFonts w:ascii="Arial" w:hAnsi="Arial" w:cs="Arial"/>
                <w:kern w:val="0"/>
                <w:sz w:val="20"/>
                <w:szCs w:val="20"/>
              </w:rPr>
              <w:t>农林水支出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214 </w:t>
            </w:r>
            <w:r w:rsidRPr="00AF188D">
              <w:rPr>
                <w:rFonts w:ascii="Arial" w:hAnsi="Arial" w:cs="Arial"/>
                <w:kern w:val="0"/>
                <w:sz w:val="20"/>
                <w:szCs w:val="20"/>
              </w:rPr>
              <w:t>交通运输支出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215 </w:t>
            </w:r>
            <w:r w:rsidRPr="00AF188D">
              <w:rPr>
                <w:rFonts w:ascii="Arial" w:hAnsi="Arial" w:cs="Arial"/>
                <w:kern w:val="0"/>
                <w:sz w:val="20"/>
                <w:szCs w:val="20"/>
              </w:rPr>
              <w:t>资源勘探信息等支出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216 </w:t>
            </w:r>
            <w:r w:rsidRPr="00AF188D">
              <w:rPr>
                <w:rFonts w:ascii="Arial" w:hAnsi="Arial" w:cs="Arial"/>
                <w:kern w:val="0"/>
                <w:sz w:val="20"/>
                <w:szCs w:val="20"/>
              </w:rPr>
              <w:t>商业服务业等支出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217 </w:t>
            </w:r>
            <w:r w:rsidRPr="00AF188D">
              <w:rPr>
                <w:rFonts w:ascii="Arial" w:hAnsi="Arial" w:cs="Arial"/>
                <w:kern w:val="0"/>
                <w:sz w:val="20"/>
                <w:szCs w:val="20"/>
              </w:rPr>
              <w:t>金融支出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219 </w:t>
            </w:r>
            <w:r w:rsidRPr="00AF188D">
              <w:rPr>
                <w:rFonts w:ascii="Arial" w:hAnsi="Arial" w:cs="Arial"/>
                <w:kern w:val="0"/>
                <w:sz w:val="20"/>
                <w:szCs w:val="20"/>
              </w:rPr>
              <w:t>援助其他地区支出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220 </w:t>
            </w:r>
            <w:r w:rsidRPr="00AF188D">
              <w:rPr>
                <w:rFonts w:ascii="Arial" w:hAnsi="Arial" w:cs="Arial"/>
                <w:kern w:val="0"/>
                <w:sz w:val="20"/>
                <w:szCs w:val="20"/>
              </w:rPr>
              <w:t>自然资源海洋气象等支出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221 </w:t>
            </w:r>
            <w:r w:rsidRPr="00AF188D">
              <w:rPr>
                <w:rFonts w:ascii="Arial" w:hAnsi="Arial" w:cs="Arial"/>
                <w:kern w:val="0"/>
                <w:sz w:val="20"/>
                <w:szCs w:val="20"/>
              </w:rPr>
              <w:t>住房保障支出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222 </w:t>
            </w:r>
            <w:r w:rsidRPr="00AF188D">
              <w:rPr>
                <w:rFonts w:ascii="Arial" w:hAnsi="Arial" w:cs="Arial"/>
                <w:kern w:val="0"/>
                <w:sz w:val="20"/>
                <w:szCs w:val="20"/>
              </w:rPr>
              <w:t>粮油物资储备支出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223 </w:t>
            </w:r>
            <w:r w:rsidRPr="00AF188D">
              <w:rPr>
                <w:rFonts w:ascii="Arial" w:hAnsi="Arial" w:cs="Arial"/>
                <w:kern w:val="0"/>
                <w:sz w:val="20"/>
                <w:szCs w:val="20"/>
              </w:rPr>
              <w:t>国有资本经营预算支出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224 </w:t>
            </w:r>
            <w:r w:rsidRPr="00AF188D">
              <w:rPr>
                <w:rFonts w:ascii="Arial" w:hAnsi="Arial" w:cs="Arial"/>
                <w:kern w:val="0"/>
                <w:sz w:val="20"/>
                <w:szCs w:val="20"/>
              </w:rPr>
              <w:t>灾害防治及应急管理支出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227 </w:t>
            </w:r>
            <w:r w:rsidRPr="00AF188D">
              <w:rPr>
                <w:rFonts w:ascii="Arial" w:hAnsi="Arial" w:cs="Arial"/>
                <w:kern w:val="0"/>
                <w:sz w:val="20"/>
                <w:szCs w:val="20"/>
              </w:rPr>
              <w:t>预备费</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lastRenderedPageBreak/>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229 </w:t>
            </w:r>
            <w:r w:rsidRPr="00AF188D">
              <w:rPr>
                <w:rFonts w:ascii="Arial" w:hAnsi="Arial" w:cs="Arial"/>
                <w:kern w:val="0"/>
                <w:sz w:val="20"/>
                <w:szCs w:val="20"/>
              </w:rPr>
              <w:t>其他支出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231 </w:t>
            </w:r>
            <w:r w:rsidRPr="00AF188D">
              <w:rPr>
                <w:rFonts w:ascii="Arial" w:hAnsi="Arial" w:cs="Arial"/>
                <w:kern w:val="0"/>
                <w:sz w:val="20"/>
                <w:szCs w:val="20"/>
              </w:rPr>
              <w:t>债务还本支出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232 </w:t>
            </w:r>
            <w:r w:rsidRPr="00AF188D">
              <w:rPr>
                <w:rFonts w:ascii="Arial" w:hAnsi="Arial" w:cs="Arial"/>
                <w:kern w:val="0"/>
                <w:sz w:val="20"/>
                <w:szCs w:val="20"/>
              </w:rPr>
              <w:t>债务付息支出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233 </w:t>
            </w:r>
            <w:r w:rsidRPr="00AF188D">
              <w:rPr>
                <w:rFonts w:ascii="Arial" w:hAnsi="Arial" w:cs="Arial"/>
                <w:kern w:val="0"/>
                <w:sz w:val="20"/>
                <w:szCs w:val="20"/>
              </w:rPr>
              <w:t>债务发行费用支出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小</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小</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230 </w:t>
            </w:r>
            <w:r w:rsidRPr="00AF188D">
              <w:rPr>
                <w:rFonts w:ascii="Arial" w:hAnsi="Arial" w:cs="Arial"/>
                <w:kern w:val="0"/>
                <w:sz w:val="20"/>
                <w:szCs w:val="20"/>
              </w:rPr>
              <w:t>转移性支出</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收</w:t>
            </w:r>
            <w:r w:rsidRPr="00AF188D">
              <w:rPr>
                <w:rFonts w:ascii="Arial" w:hAnsi="Arial" w:cs="Arial"/>
                <w:kern w:val="0"/>
                <w:sz w:val="20"/>
                <w:szCs w:val="20"/>
              </w:rPr>
              <w:t xml:space="preserve"> </w:t>
            </w:r>
            <w:r w:rsidRPr="00AF188D">
              <w:rPr>
                <w:rFonts w:ascii="Arial" w:hAnsi="Arial" w:cs="Arial"/>
                <w:kern w:val="0"/>
                <w:sz w:val="20"/>
                <w:szCs w:val="20"/>
              </w:rPr>
              <w:t>入</w:t>
            </w:r>
            <w:r w:rsidRPr="00AF188D">
              <w:rPr>
                <w:rFonts w:ascii="Arial" w:hAnsi="Arial" w:cs="Arial"/>
                <w:kern w:val="0"/>
                <w:sz w:val="20"/>
                <w:szCs w:val="20"/>
              </w:rPr>
              <w:t xml:space="preserve"> </w:t>
            </w:r>
            <w:r w:rsidRPr="00AF188D">
              <w:rPr>
                <w:rFonts w:ascii="Arial" w:hAnsi="Arial" w:cs="Arial"/>
                <w:kern w:val="0"/>
                <w:sz w:val="20"/>
                <w:szCs w:val="20"/>
              </w:rPr>
              <w:t>总</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r w:rsidRPr="00AF188D">
              <w:rPr>
                <w:rFonts w:ascii="Arial" w:hAnsi="Arial" w:cs="Arial"/>
                <w:kern w:val="0"/>
                <w:sz w:val="20"/>
                <w:szCs w:val="20"/>
              </w:rPr>
              <w:t>支</w:t>
            </w:r>
            <w:r w:rsidRPr="00AF188D">
              <w:rPr>
                <w:rFonts w:ascii="Arial" w:hAnsi="Arial" w:cs="Arial"/>
                <w:kern w:val="0"/>
                <w:sz w:val="20"/>
                <w:szCs w:val="20"/>
              </w:rPr>
              <w:t xml:space="preserve"> </w:t>
            </w:r>
            <w:r w:rsidRPr="00AF188D">
              <w:rPr>
                <w:rFonts w:ascii="Arial" w:hAnsi="Arial" w:cs="Arial"/>
                <w:kern w:val="0"/>
                <w:sz w:val="20"/>
                <w:szCs w:val="20"/>
              </w:rPr>
              <w:t>出</w:t>
            </w:r>
            <w:r w:rsidRPr="00AF188D">
              <w:rPr>
                <w:rFonts w:ascii="Arial" w:hAnsi="Arial" w:cs="Arial"/>
                <w:kern w:val="0"/>
                <w:sz w:val="20"/>
                <w:szCs w:val="20"/>
              </w:rPr>
              <w:t xml:space="preserve"> </w:t>
            </w:r>
            <w:r w:rsidRPr="00AF188D">
              <w:rPr>
                <w:rFonts w:ascii="Arial" w:hAnsi="Arial" w:cs="Arial"/>
                <w:kern w:val="0"/>
                <w:sz w:val="20"/>
                <w:szCs w:val="20"/>
              </w:rPr>
              <w:t>总</w:t>
            </w:r>
            <w:r w:rsidRPr="00AF188D">
              <w:rPr>
                <w:rFonts w:ascii="Arial" w:hAnsi="Arial" w:cs="Arial"/>
                <w:kern w:val="0"/>
                <w:sz w:val="20"/>
                <w:szCs w:val="20"/>
              </w:rPr>
              <w:t xml:space="preserve"> </w:t>
            </w:r>
            <w:r w:rsidRPr="00AF188D">
              <w:rPr>
                <w:rFonts w:ascii="Arial" w:hAnsi="Arial" w:cs="Arial"/>
                <w:kern w:val="0"/>
                <w:sz w:val="20"/>
                <w:szCs w:val="20"/>
              </w:rPr>
              <w:t>计</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right"/>
              <w:rPr>
                <w:rFonts w:ascii="Arial" w:hAnsi="Arial" w:cs="Arial"/>
                <w:kern w:val="0"/>
                <w:sz w:val="20"/>
                <w:szCs w:val="20"/>
              </w:rPr>
            </w:pPr>
            <w:r w:rsidRPr="00AF188D">
              <w:rPr>
                <w:rFonts w:ascii="Arial" w:hAnsi="Arial" w:cs="Arial"/>
                <w:kern w:val="0"/>
                <w:sz w:val="20"/>
                <w:szCs w:val="20"/>
              </w:rPr>
              <w:t>293.11</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r w:rsidR="00AF188D" w:rsidRPr="00AF188D" w:rsidTr="00AF188D">
        <w:trPr>
          <w:trHeight w:val="390"/>
        </w:trPr>
        <w:tc>
          <w:tcPr>
            <w:tcW w:w="1560" w:type="dxa"/>
            <w:tcBorders>
              <w:top w:val="nil"/>
              <w:left w:val="single" w:sz="4" w:space="0" w:color="000000"/>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0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c>
          <w:tcPr>
            <w:tcW w:w="1375" w:type="dxa"/>
            <w:tcBorders>
              <w:top w:val="nil"/>
              <w:left w:val="nil"/>
              <w:bottom w:val="single" w:sz="4" w:space="0" w:color="000000"/>
              <w:right w:val="single" w:sz="4" w:space="0" w:color="000000"/>
            </w:tcBorders>
            <w:shd w:val="clear" w:color="000000" w:fill="FFFFFF"/>
            <w:hideMark/>
          </w:tcPr>
          <w:p w:rsidR="00AF188D" w:rsidRPr="00AF188D" w:rsidRDefault="00AF188D" w:rsidP="00AF188D">
            <w:pPr>
              <w:widowControl/>
              <w:jc w:val="left"/>
              <w:rPr>
                <w:rFonts w:ascii="Arial" w:hAnsi="Arial" w:cs="Arial"/>
                <w:kern w:val="0"/>
                <w:sz w:val="20"/>
                <w:szCs w:val="20"/>
              </w:rPr>
            </w:pPr>
            <w:r w:rsidRPr="00AF188D">
              <w:rPr>
                <w:rFonts w:ascii="Arial" w:hAnsi="Arial" w:cs="Arial"/>
                <w:kern w:val="0"/>
                <w:sz w:val="20"/>
                <w:szCs w:val="20"/>
              </w:rPr>
              <w:t xml:space="preserve">　</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702304">
      <w:pPr>
        <w:widowControl/>
        <w:jc w:val="left"/>
        <w:outlineLvl w:val="1"/>
        <w:rPr>
          <w:rFonts w:ascii="仿宋_GB2312" w:eastAsia="仿宋_GB2312" w:hAnsi="宋体"/>
          <w:b/>
          <w:kern w:val="0"/>
          <w:sz w:val="32"/>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tblPr>
      <w:tblGrid>
        <w:gridCol w:w="441"/>
        <w:gridCol w:w="492"/>
        <w:gridCol w:w="417"/>
        <w:gridCol w:w="2510"/>
        <w:gridCol w:w="660"/>
        <w:gridCol w:w="1024"/>
        <w:gridCol w:w="216"/>
        <w:gridCol w:w="1626"/>
        <w:gridCol w:w="1701"/>
      </w:tblGrid>
      <w:tr w:rsidR="00702304">
        <w:trPr>
          <w:trHeight w:val="450"/>
        </w:trPr>
        <w:tc>
          <w:tcPr>
            <w:tcW w:w="9087" w:type="dxa"/>
            <w:gridSpan w:val="9"/>
            <w:tcBorders>
              <w:top w:val="nil"/>
              <w:left w:val="nil"/>
              <w:bottom w:val="nil"/>
              <w:right w:val="nil"/>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702304">
        <w:trPr>
          <w:trHeight w:val="285"/>
        </w:trPr>
        <w:tc>
          <w:tcPr>
            <w:tcW w:w="3860" w:type="dxa"/>
            <w:gridSpan w:val="4"/>
            <w:tcBorders>
              <w:top w:val="nil"/>
              <w:left w:val="nil"/>
              <w:bottom w:val="nil"/>
              <w:right w:val="nil"/>
            </w:tcBorders>
            <w:shd w:val="clear" w:color="auto" w:fill="auto"/>
            <w:noWrap/>
            <w:vAlign w:val="center"/>
          </w:tcPr>
          <w:p w:rsidR="00702304" w:rsidRDefault="00F3269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中国人民政治协商会议乌鲁木齐市新市区委员会</w:t>
            </w:r>
          </w:p>
        </w:tc>
        <w:tc>
          <w:tcPr>
            <w:tcW w:w="660" w:type="dxa"/>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702304" w:rsidRDefault="00F3269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02304">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02304">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02304" w:rsidRDefault="00F3269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02304">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0"/>
                <w:szCs w:val="20"/>
              </w:rPr>
            </w:pP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245.88　</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198.56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47.32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政协事务</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245.88</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198.56</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47.32</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行政运行</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202.88</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198.56</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4.32</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一般行政管理事务</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23.00</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23.00</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政协会议</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20.00</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20.00</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26.73</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208</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社会保障和就业支出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20.50</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05</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20.50</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20.50</w:t>
            </w:r>
          </w:p>
        </w:tc>
        <w:tc>
          <w:tcPr>
            <w:tcW w:w="1701" w:type="dxa"/>
            <w:tcBorders>
              <w:top w:val="nil"/>
              <w:left w:val="nil"/>
              <w:bottom w:val="single" w:sz="4" w:space="0" w:color="auto"/>
              <w:right w:val="single" w:sz="4" w:space="0" w:color="auto"/>
            </w:tcBorders>
            <w:shd w:val="clear" w:color="auto" w:fill="auto"/>
            <w:vAlign w:val="center"/>
          </w:tcPr>
          <w:p w:rsidR="00702304" w:rsidRDefault="00702304">
            <w:pPr>
              <w:widowControl/>
              <w:jc w:val="center"/>
              <w:rPr>
                <w:rFonts w:ascii="宋体" w:hAnsi="宋体" w:cs="宋体"/>
                <w:b/>
                <w:bCs/>
                <w:color w:val="000000"/>
                <w:kern w:val="0"/>
                <w:sz w:val="22"/>
                <w:szCs w:val="22"/>
              </w:rPr>
            </w:pP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r>
      <w:tr w:rsidR="00702304">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293.11</w:t>
            </w:r>
          </w:p>
        </w:tc>
        <w:tc>
          <w:tcPr>
            <w:tcW w:w="1842"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245.79</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47.32</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577"/>
        <w:gridCol w:w="2891"/>
        <w:gridCol w:w="995"/>
        <w:gridCol w:w="706"/>
        <w:gridCol w:w="976"/>
        <w:gridCol w:w="725"/>
        <w:gridCol w:w="1701"/>
      </w:tblGrid>
      <w:tr w:rsidR="00702304">
        <w:trPr>
          <w:trHeight w:val="375"/>
        </w:trPr>
        <w:tc>
          <w:tcPr>
            <w:tcW w:w="9087" w:type="dxa"/>
            <w:gridSpan w:val="8"/>
            <w:tcBorders>
              <w:top w:val="nil"/>
              <w:left w:val="nil"/>
              <w:bottom w:val="nil"/>
              <w:right w:val="nil"/>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702304">
        <w:trPr>
          <w:trHeight w:val="405"/>
        </w:trPr>
        <w:tc>
          <w:tcPr>
            <w:tcW w:w="3984" w:type="dxa"/>
            <w:gridSpan w:val="3"/>
            <w:tcBorders>
              <w:top w:val="nil"/>
              <w:left w:val="nil"/>
              <w:bottom w:val="nil"/>
              <w:right w:val="nil"/>
            </w:tcBorders>
            <w:shd w:val="clear" w:color="auto" w:fill="auto"/>
            <w:noWrap/>
            <w:vAlign w:val="center"/>
          </w:tcPr>
          <w:p w:rsidR="00702304" w:rsidRDefault="00F3269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中国人民政治协商会议乌鲁木齐市新市区委员会</w:t>
            </w:r>
          </w:p>
        </w:tc>
        <w:tc>
          <w:tcPr>
            <w:tcW w:w="995" w:type="dxa"/>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702304" w:rsidRDefault="00F32693">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02304">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02304">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02304">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宋体" w:hAnsi="宋体" w:cs="宋体"/>
                <w:b/>
                <w:bCs/>
                <w:color w:val="000000"/>
                <w:kern w:val="0"/>
                <w:sz w:val="20"/>
                <w:szCs w:val="20"/>
              </w:rPr>
            </w:pP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205.57</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205.57</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52.86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52.86</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57.75</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57.75</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奖金</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24.21</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24.21</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08</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20.50</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20.50</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9.23</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9.23</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11</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12</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0.82</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0.82</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19.16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19.16</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18.99</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18.99</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13.49</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13.49</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办公费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0.72</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0.72</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05</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水费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0.19</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0.19</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电费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0.36</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07</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邮电费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0.62</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0.62</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1.46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1.46</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0.03</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0.03</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1.47</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1.47</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0.06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0.06</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1.96</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1.96</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4.51</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4.51</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2.11</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2.11</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26.73</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26.73</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02304" w:rsidRDefault="00702304">
            <w:pPr>
              <w:widowControl/>
              <w:jc w:val="left"/>
              <w:rPr>
                <w:rFonts w:ascii="宋体" w:hAnsi="宋体" w:cs="宋体"/>
                <w:color w:val="000000"/>
                <w:kern w:val="0"/>
                <w:sz w:val="20"/>
                <w:szCs w:val="20"/>
              </w:rPr>
            </w:pPr>
          </w:p>
        </w:tc>
      </w:tr>
      <w:tr w:rsidR="0070230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245.79</w:t>
            </w:r>
          </w:p>
        </w:tc>
        <w:tc>
          <w:tcPr>
            <w:tcW w:w="1701"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205.57</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13.49</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jc w:val="left"/>
        <w:outlineLvl w:val="1"/>
        <w:rPr>
          <w:rFonts w:ascii="仿宋_GB2312" w:eastAsia="仿宋_GB2312" w:hAnsi="宋体"/>
          <w:b/>
          <w:kern w:val="0"/>
          <w:sz w:val="32"/>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702304">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702304">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702304" w:rsidRDefault="00F3269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中国人民政治协商会议乌鲁木齐市新市区委员会</w:t>
            </w:r>
          </w:p>
        </w:tc>
        <w:tc>
          <w:tcPr>
            <w:tcW w:w="995" w:type="dxa"/>
            <w:gridSpan w:val="2"/>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702304" w:rsidRDefault="00702304">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702304" w:rsidRDefault="00F32693">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702304" w:rsidRDefault="00F32693">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702304" w:rsidRDefault="00F3269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702304" w:rsidRDefault="00F3269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702304" w:rsidRDefault="00F3269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702304" w:rsidRDefault="00F3269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702304" w:rsidRDefault="00702304">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702304" w:rsidRDefault="00702304">
            <w:pPr>
              <w:widowControl/>
              <w:jc w:val="left"/>
              <w:outlineLvl w:val="1"/>
              <w:rPr>
                <w:rFonts w:ascii="仿宋_GB2312" w:eastAsia="仿宋_GB2312" w:hAnsi="宋体"/>
                <w:b/>
                <w:kern w:val="0"/>
                <w:sz w:val="18"/>
                <w:szCs w:val="18"/>
              </w:rPr>
            </w:pP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201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02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01</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行政运行</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访惠聚人员补助</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4.32</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4.32</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201</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一般行政管理事务</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政协常委会、迎新年茶话会</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5.00</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5.00</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lastRenderedPageBreak/>
              <w:t xml:space="preserve">　201</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04</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政协会议</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政协九届四次会议</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20.00</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20.00</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201</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一般行政管理事务</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政协委员活动经遇</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13.00</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13.00</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201</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02</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一般行政管理事务</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专题调研</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5.00</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5.00</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45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70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851"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456" w:type="dxa"/>
            <w:shd w:val="clear" w:color="auto" w:fill="auto"/>
            <w:vAlign w:val="center"/>
          </w:tcPr>
          <w:p w:rsidR="00702304" w:rsidRDefault="00F32693">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合计</w:t>
            </w:r>
          </w:p>
        </w:tc>
        <w:tc>
          <w:tcPr>
            <w:tcW w:w="750" w:type="dxa"/>
            <w:shd w:val="clear" w:color="auto" w:fill="auto"/>
            <w:vAlign w:val="center"/>
          </w:tcPr>
          <w:p w:rsidR="00702304" w:rsidRDefault="00F32693">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47.32</w:t>
            </w:r>
          </w:p>
        </w:tc>
        <w:tc>
          <w:tcPr>
            <w:tcW w:w="569"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36"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43.00</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4.32</w:t>
            </w:r>
          </w:p>
        </w:tc>
        <w:tc>
          <w:tcPr>
            <w:tcW w:w="652"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702304" w:rsidRDefault="00F32693">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bl>
    <w:p w:rsidR="00702304" w:rsidRDefault="00F3269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2304" w:rsidRDefault="00702304">
      <w:pPr>
        <w:widowControl/>
        <w:outlineLvl w:val="1"/>
        <w:rPr>
          <w:rFonts w:ascii="仿宋_GB2312" w:eastAsia="仿宋_GB2312" w:hAnsi="宋体"/>
          <w:b/>
          <w:kern w:val="0"/>
          <w:sz w:val="28"/>
          <w:szCs w:val="32"/>
        </w:rPr>
      </w:pPr>
    </w:p>
    <w:p w:rsidR="00702304" w:rsidRDefault="00702304">
      <w:pPr>
        <w:widowControl/>
        <w:jc w:val="left"/>
        <w:outlineLvl w:val="1"/>
        <w:rPr>
          <w:rFonts w:ascii="仿宋_GB2312" w:eastAsia="仿宋_GB2312" w:hAnsi="宋体"/>
          <w:b/>
          <w:kern w:val="0"/>
          <w:sz w:val="32"/>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702304" w:rsidRDefault="00702304">
      <w:pPr>
        <w:widowControl/>
        <w:jc w:val="left"/>
        <w:outlineLvl w:val="1"/>
        <w:rPr>
          <w:rFonts w:ascii="仿宋_GB2312" w:eastAsia="仿宋_GB2312" w:hAnsi="宋体"/>
          <w:b/>
          <w:kern w:val="0"/>
          <w:sz w:val="32"/>
          <w:szCs w:val="32"/>
        </w:rPr>
      </w:pPr>
    </w:p>
    <w:p w:rsidR="00702304" w:rsidRDefault="00F3269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702304" w:rsidRDefault="00F32693">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编制单位：中国人民政治协商会议乌鲁木齐市新市区委员会        单位：万元</w:t>
      </w:r>
    </w:p>
    <w:tbl>
      <w:tblPr>
        <w:tblW w:w="9087" w:type="dxa"/>
        <w:tblInd w:w="93" w:type="dxa"/>
        <w:tblLayout w:type="fixed"/>
        <w:tblLook w:val="04A0"/>
      </w:tblPr>
      <w:tblGrid>
        <w:gridCol w:w="1575"/>
        <w:gridCol w:w="1417"/>
        <w:gridCol w:w="1559"/>
        <w:gridCol w:w="1418"/>
        <w:gridCol w:w="1559"/>
        <w:gridCol w:w="1559"/>
      </w:tblGrid>
      <w:tr w:rsidR="00702304">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702304">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02304" w:rsidRDefault="00702304">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02304" w:rsidRDefault="00702304">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702304" w:rsidRDefault="00702304">
            <w:pPr>
              <w:widowControl/>
              <w:jc w:val="left"/>
              <w:rPr>
                <w:rFonts w:ascii="宋体" w:hAnsi="宋体" w:cs="宋体"/>
                <w:b/>
                <w:bCs/>
                <w:color w:val="000000"/>
                <w:kern w:val="0"/>
                <w:sz w:val="22"/>
                <w:szCs w:val="22"/>
              </w:rPr>
            </w:pPr>
          </w:p>
        </w:tc>
      </w:tr>
      <w:tr w:rsidR="00702304">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02304">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02304">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02304">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02304">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02304" w:rsidRDefault="00F32693">
      <w:pPr>
        <w:autoSpaceDE w:val="0"/>
        <w:autoSpaceDN w:val="0"/>
        <w:adjustRightInd w:val="0"/>
        <w:jc w:val="left"/>
        <w:rPr>
          <w:rFonts w:ascii="方正仿宋_GBK" w:eastAsia="方正仿宋_GBK" w:hAnsiTheme="minorHAnsi" w:cs="宋体"/>
          <w:b/>
          <w:kern w:val="0"/>
          <w:sz w:val="32"/>
          <w:szCs w:val="32"/>
        </w:rPr>
      </w:pPr>
      <w:r>
        <w:rPr>
          <w:rFonts w:ascii="仿宋_GB2312" w:eastAsia="仿宋_GB2312" w:hAnsi="宋体" w:hint="eastAsia"/>
          <w:b/>
          <w:kern w:val="0"/>
          <w:sz w:val="28"/>
          <w:szCs w:val="32"/>
        </w:rPr>
        <w:t>备注：政协</w:t>
      </w:r>
      <w:r>
        <w:rPr>
          <w:rFonts w:ascii="方正仿宋_GBK" w:eastAsia="方正仿宋_GBK" w:hAnsiTheme="minorHAnsi" w:cs="宋体" w:hint="eastAsia"/>
          <w:b/>
          <w:kern w:val="0"/>
          <w:sz w:val="28"/>
          <w:szCs w:val="28"/>
        </w:rPr>
        <w:t>2019 年未安排“三公”经费预算，2019 年一般公共预算“三公”经费支出情况表为空表。</w:t>
      </w:r>
    </w:p>
    <w:p w:rsidR="00702304" w:rsidRDefault="00702304">
      <w:pPr>
        <w:widowControl/>
        <w:outlineLvl w:val="1"/>
        <w:rPr>
          <w:rFonts w:ascii="仿宋_GB2312" w:eastAsia="仿宋_GB2312" w:hAnsi="宋体"/>
          <w:b/>
          <w:kern w:val="0"/>
          <w:sz w:val="32"/>
          <w:szCs w:val="32"/>
        </w:rPr>
      </w:pPr>
    </w:p>
    <w:p w:rsidR="00702304" w:rsidRDefault="00F3269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702304" w:rsidRDefault="00F3269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02304" w:rsidRDefault="00F32693">
      <w:pPr>
        <w:widowControl/>
        <w:outlineLvl w:val="1"/>
        <w:rPr>
          <w:rFonts w:ascii="仿宋_GB2312" w:eastAsia="仿宋_GB2312" w:hAnsi="宋体"/>
          <w:kern w:val="0"/>
          <w:sz w:val="24"/>
        </w:rPr>
      </w:pPr>
      <w:r>
        <w:rPr>
          <w:rFonts w:ascii="仿宋_GB2312" w:eastAsia="仿宋_GB2312" w:hAnsi="宋体" w:hint="eastAsia"/>
          <w:kern w:val="0"/>
          <w:sz w:val="24"/>
        </w:rPr>
        <w:lastRenderedPageBreak/>
        <w:t>编制单位：中国人民政治协商会议乌鲁木齐市新市区委员会         单位：万元</w:t>
      </w:r>
    </w:p>
    <w:tbl>
      <w:tblPr>
        <w:tblW w:w="9087" w:type="dxa"/>
        <w:tblInd w:w="93" w:type="dxa"/>
        <w:tblLayout w:type="fixed"/>
        <w:tblLook w:val="04A0"/>
      </w:tblPr>
      <w:tblGrid>
        <w:gridCol w:w="458"/>
        <w:gridCol w:w="457"/>
        <w:gridCol w:w="457"/>
        <w:gridCol w:w="2896"/>
        <w:gridCol w:w="1559"/>
        <w:gridCol w:w="1701"/>
        <w:gridCol w:w="1559"/>
      </w:tblGrid>
      <w:tr w:rsidR="00702304">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02304">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02304">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02304" w:rsidRDefault="00702304">
            <w:pPr>
              <w:widowControl/>
              <w:jc w:val="left"/>
              <w:rPr>
                <w:rFonts w:ascii="仿宋_GB2312" w:eastAsia="仿宋_GB2312" w:hAnsi="宋体" w:cs="宋体"/>
                <w:b/>
                <w:bCs/>
                <w:color w:val="000000"/>
                <w:kern w:val="0"/>
                <w:sz w:val="24"/>
              </w:rPr>
            </w:pPr>
          </w:p>
        </w:tc>
      </w:tr>
      <w:tr w:rsidR="0070230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230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230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2304" w:rsidRDefault="00F3269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02304" w:rsidRDefault="00F3269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02304" w:rsidRDefault="00F3269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2304" w:rsidRDefault="00F3269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702304" w:rsidRDefault="00F32693">
      <w:pPr>
        <w:autoSpaceDE w:val="0"/>
        <w:autoSpaceDN w:val="0"/>
        <w:adjustRightInd w:val="0"/>
        <w:jc w:val="left"/>
        <w:rPr>
          <w:rFonts w:ascii="方正仿宋_GBK" w:eastAsia="方正仿宋_GBK" w:hAnsi="宋体"/>
          <w:b/>
          <w:kern w:val="0"/>
          <w:sz w:val="28"/>
          <w:szCs w:val="28"/>
        </w:rPr>
        <w:sectPr w:rsidR="00702304">
          <w:footerReference w:type="even" r:id="rId7"/>
          <w:footerReference w:type="default" r:id="rId8"/>
          <w:pgSz w:w="11906" w:h="16838"/>
          <w:pgMar w:top="2098" w:right="1418" w:bottom="1928" w:left="1588" w:header="851" w:footer="992" w:gutter="0"/>
          <w:pgNumType w:fmt="numberInDash"/>
          <w:cols w:space="720"/>
          <w:docGrid w:linePitch="312"/>
        </w:sectPr>
      </w:pPr>
      <w:r>
        <w:rPr>
          <w:rFonts w:ascii="仿宋_GB2312" w:eastAsia="仿宋_GB2312" w:hAnsi="宋体" w:hint="eastAsia"/>
          <w:b/>
          <w:kern w:val="0"/>
          <w:sz w:val="28"/>
          <w:szCs w:val="32"/>
        </w:rPr>
        <w:t>备注：政协</w:t>
      </w:r>
      <w:r>
        <w:rPr>
          <w:rFonts w:ascii="方正仿宋_GBK" w:eastAsia="方正仿宋_GBK" w:hAnsiTheme="minorHAnsi" w:cs="宋体" w:hint="eastAsia"/>
          <w:b/>
          <w:kern w:val="0"/>
          <w:sz w:val="28"/>
          <w:szCs w:val="28"/>
        </w:rPr>
        <w:t>2019 年没有使用政府性基金预算拨款安排的支出，政府性基金预算支出情况表为空表。</w:t>
      </w:r>
    </w:p>
    <w:p w:rsidR="00702304" w:rsidRDefault="00F32693" w:rsidP="00AF188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2019年收支预算情况的总体说明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2019年所有收入和支出均纳入部门预算管理。收支总预算293.11 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收入预算包括：一般公共预算293.11万元、 政府性基金预算0万元等。</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支出预算包括：一般公共服务支出245.88 万元、公共安全支出26.73万元、社会保障和就业支出20.50万元等。</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2019年收入预算情况说明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收入预算293.11 元，其中：</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一般公共预算293.11万元，占100%，比上年减少3.33万元，主要原因是公共安全支出和社会保障和就业支出分别减少2.07万元和1.26万元；    </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单位2019年支出预算情况说明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2019年支出预算293.11万 元，其中：</w:t>
      </w:r>
    </w:p>
    <w:p w:rsidR="00702304" w:rsidRDefault="00F32693">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基本支出245.79 万元，占83.86%，比上年增加2.35万元，主要原因是政协2018年年末有新增人员，办公费用及公共安全经费相应增加。</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项目支出47.32万元，占16.14%，比上年减少5.68万元，主要原因是政协九届四次会议经费预算比九届三次会议预算减少10万 元，新增访惠聚工作队经费4.32万元。</w:t>
      </w:r>
    </w:p>
    <w:p w:rsidR="00702304" w:rsidRDefault="00F32693">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黑体" w:hint="eastAsia"/>
          <w:kern w:val="0"/>
          <w:sz w:val="32"/>
          <w:szCs w:val="32"/>
        </w:rPr>
        <w:t>中国人民政治协商会议乌鲁木齐市新市区委员会</w:t>
      </w:r>
      <w:r>
        <w:rPr>
          <w:rFonts w:ascii="黑体" w:eastAsia="黑体" w:hAnsi="黑体" w:cs="宋体" w:hint="eastAsia"/>
          <w:bCs/>
          <w:kern w:val="0"/>
          <w:sz w:val="32"/>
          <w:szCs w:val="32"/>
        </w:rPr>
        <w:t>2019年财政拨款收支预算情况的总体说明</w:t>
      </w:r>
    </w:p>
    <w:p w:rsidR="00702304" w:rsidRDefault="00F3269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2019年财政拨款收支总预算293.11万元。</w:t>
      </w:r>
    </w:p>
    <w:p w:rsidR="00702304" w:rsidRDefault="00F3269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2019年一般公共预算当年拨款情况说明</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中国人民政治协商会议乌鲁木齐市新市区委员会2019</w:t>
      </w:r>
      <w:r>
        <w:rPr>
          <w:rFonts w:ascii="仿宋_GB2312" w:eastAsia="仿宋_GB2312" w:hAnsi="宋体" w:cs="宋体" w:hint="eastAsia"/>
          <w:kern w:val="0"/>
          <w:sz w:val="32"/>
          <w:szCs w:val="32"/>
        </w:rPr>
        <w:t xml:space="preserve">年一般公共预算拨款基本支出245.79 万元，比上年执行数增加2.35万元，增长1 %。主要原因是：2018年年末有新增人员，办公费用及公共安全经费相应增加。 </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702304" w:rsidRDefault="00F32693">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1.一般公共服务（类）245.88</w:t>
      </w:r>
      <w:r>
        <w:rPr>
          <w:rFonts w:ascii="仿宋_GB2312" w:eastAsia="仿宋_GB2312" w:hAnsi="宋体" w:cs="宋体" w:hint="eastAsia"/>
          <w:kern w:val="0"/>
          <w:sz w:val="32"/>
          <w:szCs w:val="32"/>
        </w:rPr>
        <w:t>万元，占83.89 %。</w:t>
      </w:r>
    </w:p>
    <w:p w:rsidR="00702304" w:rsidRDefault="00F3269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2.公共安全支出26.73万元，占9.1%。</w:t>
      </w:r>
    </w:p>
    <w:p w:rsidR="00702304" w:rsidRDefault="00F3269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3、社会保障和就业支出20.50万元，占7%。</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1.一般公共服务支出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政协事务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（项）</w:t>
      </w:r>
      <w:r>
        <w:rPr>
          <w:rFonts w:ascii="仿宋_GB2312" w:eastAsia="仿宋_GB2312" w:hAnsi="宋体" w:cs="宋体" w:hint="eastAsia"/>
          <w:kern w:val="0"/>
          <w:sz w:val="32"/>
          <w:szCs w:val="32"/>
        </w:rPr>
        <w:t xml:space="preserve">2019年预算数为202.88万元，比上年执行数增加10万元，增长5.2 %，主要原因是：基本支出增加和访惠聚经费调整至此项。 </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2、一般公共服务支出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政协事务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一般行政管理事务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 xml:space="preserve">2019年预算数为23万元，比上年执行数减少30万元，减少56.60 %，主要原因是：调整科目，将2018年度政协项目经费分为2个部分拨款。  </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3、一般公共服务支出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政协事务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政协会议</w:t>
      </w:r>
      <w:r>
        <w:rPr>
          <w:rFonts w:ascii="仿宋_GB2312" w:eastAsia="仿宋_GB2312" w:hAnsi="宋体" w:cs="宋体"/>
          <w:kern w:val="0"/>
          <w:sz w:val="32"/>
          <w:szCs w:val="32"/>
        </w:rPr>
        <w:t>（项）</w:t>
      </w:r>
      <w:r>
        <w:rPr>
          <w:rFonts w:ascii="仿宋_GB2312" w:eastAsia="仿宋_GB2312" w:hAnsi="宋体" w:cs="宋体" w:hint="eastAsia"/>
          <w:kern w:val="0"/>
          <w:sz w:val="32"/>
          <w:szCs w:val="32"/>
        </w:rPr>
        <w:t xml:space="preserve">2019年预算数为20万元，比上年执行数增加20万元，增长100 %，主要原因是：调整科目，将政协会议单独列为项目进行拨款。 </w:t>
      </w:r>
    </w:p>
    <w:p w:rsidR="00702304" w:rsidRDefault="00602684">
      <w:pPr>
        <w:spacing w:line="580" w:lineRule="exact"/>
        <w:ind w:firstLine="640"/>
        <w:rPr>
          <w:rFonts w:ascii="仿宋_GB2312" w:eastAsia="仿宋_GB2312" w:hAnsi="宋体" w:cs="宋体"/>
          <w:kern w:val="0"/>
          <w:sz w:val="32"/>
          <w:szCs w:val="32"/>
        </w:rPr>
      </w:pPr>
      <w:r>
        <w:rPr>
          <w:rFonts w:ascii="仿宋" w:eastAsia="仿宋" w:hAnsi="仿宋" w:cs="宋体" w:hint="eastAsia"/>
          <w:kern w:val="0"/>
          <w:sz w:val="32"/>
          <w:szCs w:val="32"/>
        </w:rPr>
        <w:t>4</w:t>
      </w:r>
      <w:r w:rsidR="00F32693">
        <w:rPr>
          <w:rFonts w:ascii="仿宋" w:eastAsia="仿宋" w:hAnsi="仿宋" w:cs="宋体" w:hint="eastAsia"/>
          <w:kern w:val="0"/>
          <w:sz w:val="32"/>
          <w:szCs w:val="32"/>
        </w:rPr>
        <w:t>.公共安全支出（类）其他公共安全支出（款）其他公共安全支出（项）2019年预算数为26.73万元，比上年</w:t>
      </w:r>
      <w:r w:rsidR="00F32693">
        <w:rPr>
          <w:rFonts w:ascii="仿宋_GB2312" w:eastAsia="仿宋_GB2312" w:hAnsi="宋体" w:cs="宋体" w:hint="eastAsia"/>
          <w:kern w:val="0"/>
          <w:sz w:val="32"/>
          <w:szCs w:val="32"/>
        </w:rPr>
        <w:t xml:space="preserve">执行数减少2.07万元，下降7.2 %，主要原因是：2019年在册人员减少1人。 </w:t>
      </w:r>
    </w:p>
    <w:p w:rsidR="00702304" w:rsidRDefault="00602684">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F32693">
        <w:rPr>
          <w:rFonts w:ascii="仿宋_GB2312" w:eastAsia="仿宋_GB2312" w:hAnsi="宋体" w:cs="宋体" w:hint="eastAsia"/>
          <w:kern w:val="0"/>
          <w:sz w:val="32"/>
          <w:szCs w:val="32"/>
        </w:rPr>
        <w:t>、社会保障和就业支出（类）行政事业单位离退休（款）机关事业单位基本养老保险缴费支出（项）2019年预算数为20.50万元，</w:t>
      </w:r>
      <w:r w:rsidR="00F32693">
        <w:rPr>
          <w:rFonts w:ascii="仿宋" w:eastAsia="仿宋" w:hAnsi="仿宋" w:cs="宋体" w:hint="eastAsia"/>
          <w:kern w:val="0"/>
          <w:sz w:val="32"/>
          <w:szCs w:val="32"/>
        </w:rPr>
        <w:t>比上年</w:t>
      </w:r>
      <w:r w:rsidR="00F32693">
        <w:rPr>
          <w:rFonts w:ascii="仿宋_GB2312" w:eastAsia="仿宋_GB2312" w:hAnsi="宋体" w:cs="宋体" w:hint="eastAsia"/>
          <w:kern w:val="0"/>
          <w:sz w:val="32"/>
          <w:szCs w:val="32"/>
        </w:rPr>
        <w:t>执行数减少1.26 万元，下降5.8 %，主要原因是：新增人员需缴纳基本养老保险费用低于2018年到龄退休人员的基本养老保险缴费。</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2019年一般公共预算基本支出情况说明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lastRenderedPageBreak/>
        <w:t>中国人民政治协商会议乌鲁木齐市新市区委员会2019</w:t>
      </w:r>
      <w:r>
        <w:rPr>
          <w:rFonts w:ascii="仿宋_GB2312" w:eastAsia="仿宋_GB2312" w:hAnsi="宋体" w:cs="宋体" w:hint="eastAsia"/>
          <w:kern w:val="0"/>
          <w:sz w:val="32"/>
          <w:szCs w:val="32"/>
        </w:rPr>
        <w:t>年一般公共预算基本支出293.11万元， 其中：</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人员经费205.57 万元，主要包括：基本工资52.86万元、津贴补贴57.75万元、奖金24.21万元、机关事业单位基本养老保险缴费20.50万元、职工基本医疗保险缴费9.23万元、公务员医疗补助缴费2.05万元、其他社会保障缴费0.82万元、住房公积金 19.16万元、其他工资福利支出18.99万元、其他对个人和家庭的补助26.73万元等。</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13.49万元，主要包括：办公费0.72万元、水费0.19万元、电费0.36万元、邮电费0.62万元、差旅费1.46万元、维修（护）费0.03万元、培训费1.47万元、专用材料费0.06万元、工会经费1.96万元、福利费4.51万元、其他商品和服务支出2.11万元等。</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2019年项目支出情况说明</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：访惠聚经费</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：自治区党委关于开展访惠聚工作的相关文件</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4.32万元</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：中国人民政治协商会议乌鲁木齐市新市区委员会办公室</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全部用于区政协派出的访惠聚工作队员生活补贴</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2019年1月至2019年12月</w:t>
      </w:r>
    </w:p>
    <w:p w:rsidR="00702304" w:rsidRDefault="00F3269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：财政拨款</w:t>
      </w:r>
    </w:p>
    <w:p w:rsidR="00702304" w:rsidRDefault="00F3269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2人</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补贴标准</w:t>
      </w:r>
      <w:r>
        <w:rPr>
          <w:rFonts w:ascii="仿宋_GB2312" w:eastAsia="仿宋_GB2312" w:hAnsi="黑体" w:hint="eastAsia"/>
          <w:sz w:val="32"/>
          <w:szCs w:val="32"/>
        </w:rPr>
        <w:t>：每人每月按1800元标准发放</w:t>
      </w:r>
    </w:p>
    <w:p w:rsidR="00702304" w:rsidRDefault="00F3269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：仅限于参加区政协访惠聚工作人员</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：根据考勤情况委托银行发放</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发放程序：1、根据片区管委会和社区考勤纪录予以造表；2、经区政协领导审核签字同意进行授权支付；3、一般情况下委托银行发放，特殊情况可发放现金。</w:t>
      </w:r>
    </w:p>
    <w:p w:rsidR="00702304" w:rsidRDefault="00F32693">
      <w:pPr>
        <w:widowControl/>
        <w:spacing w:line="580" w:lineRule="exact"/>
        <w:ind w:firstLine="640"/>
        <w:jc w:val="left"/>
        <w:rPr>
          <w:rFonts w:ascii="仿宋_GB2312" w:eastAsia="仿宋_GB2312"/>
          <w:sz w:val="32"/>
          <w:szCs w:val="32"/>
        </w:rPr>
      </w:pPr>
      <w:r>
        <w:rPr>
          <w:rFonts w:ascii="仿宋_GB2312" w:eastAsia="仿宋_GB2312"/>
          <w:sz w:val="32"/>
          <w:szCs w:val="22"/>
        </w:rPr>
        <w:t>受益人群和社会效益</w:t>
      </w:r>
      <w:r>
        <w:rPr>
          <w:rFonts w:ascii="仿宋_GB2312" w:eastAsia="仿宋_GB2312" w:hAnsi="黑体" w:hint="eastAsia"/>
          <w:sz w:val="32"/>
          <w:szCs w:val="32"/>
        </w:rPr>
        <w:t>：通过访惠聚工作队驻社区（村）工作，</w:t>
      </w:r>
      <w:r>
        <w:rPr>
          <w:rFonts w:ascii="仿宋_GB2312" w:eastAsia="仿宋_GB2312" w:hint="eastAsia"/>
          <w:sz w:val="32"/>
          <w:szCs w:val="32"/>
        </w:rPr>
        <w:t>提高了经济发展的质量和效益，各族群众的获得感幸福感安全感不断增强。同时也对访惠聚工作队队员提供了生活保障，减轻他们的生活压力。</w:t>
      </w:r>
    </w:p>
    <w:p w:rsidR="00702304" w:rsidRDefault="00F32693" w:rsidP="00AF188D">
      <w:pPr>
        <w:widowControl/>
        <w:spacing w:line="580" w:lineRule="exact"/>
        <w:ind w:firstLineChars="300" w:firstLine="960"/>
        <w:jc w:val="left"/>
        <w:rPr>
          <w:rFonts w:ascii="仿宋_GB2312" w:eastAsia="仿宋_GB2312" w:hAnsi="黑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：政协常委会、知情明政通报会及中秋茶话会</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：《中国人民政治协商会议章程》及政协常委会工作报告</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中国人民政治协商会议乌鲁木齐市新市区委员会办公室</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：全部用于政协2019年度每季度常委会、迎新春联谊会、知情明政通报会及中秋茶话会所需所有开支（包括会场布置、场地费、演艺费用、学习资料、文件印制、</w:t>
      </w:r>
      <w:r>
        <w:rPr>
          <w:rFonts w:ascii="仿宋_GB2312" w:eastAsia="仿宋_GB2312" w:hAnsi="黑体" w:hint="eastAsia"/>
          <w:sz w:val="32"/>
          <w:szCs w:val="32"/>
        </w:rPr>
        <w:lastRenderedPageBreak/>
        <w:t>租车费、外出工作餐或加班误餐、讲课费、稿费、所需用品采购等。）</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3、项目</w:t>
      </w:r>
      <w:r>
        <w:rPr>
          <w:rFonts w:ascii="仿宋_GB2312" w:eastAsia="仿宋_GB2312" w:hAnsi="黑体"/>
          <w:sz w:val="32"/>
          <w:szCs w:val="32"/>
        </w:rPr>
        <w:t>名称</w:t>
      </w:r>
      <w:r>
        <w:rPr>
          <w:rFonts w:ascii="仿宋_GB2312" w:eastAsia="仿宋_GB2312" w:hAnsi="黑体" w:hint="eastAsia"/>
          <w:sz w:val="32"/>
          <w:szCs w:val="32"/>
        </w:rPr>
        <w:t>：政协九届四次会议</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：《中国人民政治协商会议章程》</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20万元</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中国人民政治协商会议乌鲁木齐市新市区委员会办公室</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：全部用于筹备和召开政协九届四次全体会议用品、委员交通补助、就餐及文件材料印刷等所有支出。</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2019年1月至2019年3月</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：政协委员活动经费</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：《中国人民政治协商会议章程》及政协常委会工作报告</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13万元</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中国人民政治协商会议乌鲁木齐市新市区委员会办公室</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：全部用于政协全体委员履行职能、参加考察、座谈联谊、民族团结、外出交流等各项活动支出，如外出考察餐费、租车费、用品采购、讲课费、资料、学习用书购买及印制等。</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702304" w:rsidRDefault="00702304">
      <w:pPr>
        <w:widowControl/>
        <w:spacing w:line="580" w:lineRule="exact"/>
        <w:ind w:firstLine="640"/>
        <w:jc w:val="left"/>
        <w:rPr>
          <w:rFonts w:ascii="仿宋_GB2312" w:eastAsia="仿宋_GB2312" w:hAnsi="黑体"/>
          <w:sz w:val="32"/>
          <w:szCs w:val="32"/>
        </w:rPr>
      </w:pP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5、项目</w:t>
      </w:r>
      <w:r>
        <w:rPr>
          <w:rFonts w:ascii="仿宋_GB2312" w:eastAsia="仿宋_GB2312" w:hAnsi="黑体"/>
          <w:sz w:val="32"/>
          <w:szCs w:val="32"/>
        </w:rPr>
        <w:t>名称</w:t>
      </w:r>
      <w:r>
        <w:rPr>
          <w:rFonts w:ascii="仿宋_GB2312" w:eastAsia="仿宋_GB2312" w:hAnsi="黑体" w:hint="eastAsia"/>
          <w:sz w:val="32"/>
          <w:szCs w:val="32"/>
        </w:rPr>
        <w:t>：专题调研经费</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：《中国人民政治协商会议章程》及政协常委会工作报告</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中国人民政治协商会议乌鲁木齐市新市区委员会办公室</w:t>
      </w:r>
    </w:p>
    <w:p w:rsidR="00702304" w:rsidRDefault="00F326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政协2019年度开展上级政协及区委、政府安排或需协助的、本级政协全年工作计划中安排的调研课（含因调研产生的所有开支，如学习资料、文件印制、租车费、外出工作餐或加班误餐、讲课费、稿费、所需用品采购等。）</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702304" w:rsidRDefault="00702304">
      <w:pPr>
        <w:widowControl/>
        <w:spacing w:line="580" w:lineRule="exact"/>
        <w:ind w:firstLine="640"/>
        <w:jc w:val="left"/>
        <w:rPr>
          <w:rFonts w:ascii="仿宋_GB2312" w:eastAsia="仿宋_GB2312" w:hAnsi="黑体"/>
          <w:sz w:val="32"/>
          <w:szCs w:val="32"/>
        </w:rPr>
      </w:pPr>
    </w:p>
    <w:p w:rsidR="00702304" w:rsidRDefault="00F3269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2019年一般公共预算“三公”经费预算情况说明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中国人民政治协商会议乌鲁木齐市新市区委员会2019</w:t>
      </w:r>
      <w:r>
        <w:rPr>
          <w:rFonts w:ascii="仿宋_GB2312" w:eastAsia="仿宋_GB2312" w:hAnsi="宋体" w:cs="宋体" w:hint="eastAsia"/>
          <w:kern w:val="0"/>
          <w:sz w:val="32"/>
          <w:szCs w:val="32"/>
        </w:rPr>
        <w:t>年“三公”经费财政拨款预算数为0 万元，其中：因公出国（境）费0万元，公务用车购置0万元，公务用车运行费0   万元，公务接待费0万元。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 万元，其中：因公出国（境）费增加0万元，主要原因是政协无人员因公出国（境）；公务用车购置费为0，未安排预算。公务用车运行费增加0万元，主要原因是政协所有使用车辆均</w:t>
      </w:r>
      <w:r>
        <w:rPr>
          <w:rFonts w:ascii="仿宋_GB2312" w:eastAsia="仿宋_GB2312" w:hAnsi="宋体" w:cs="宋体" w:hint="eastAsia"/>
          <w:kern w:val="0"/>
          <w:sz w:val="32"/>
          <w:szCs w:val="32"/>
        </w:rPr>
        <w:lastRenderedPageBreak/>
        <w:t>由区机关服务中心车队统一管理；公务接待费增加0万元，主要原因是区政协未出现公务接待 。</w:t>
      </w:r>
    </w:p>
    <w:p w:rsidR="00702304" w:rsidRDefault="00F3269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w:t>
      </w:r>
      <w:r>
        <w:rPr>
          <w:rFonts w:ascii="黑体" w:eastAsia="黑体" w:hAnsi="黑体" w:hint="eastAsia"/>
          <w:kern w:val="0"/>
          <w:sz w:val="32"/>
          <w:szCs w:val="32"/>
        </w:rPr>
        <w:t>中国人民政治协商会议乌鲁木齐市新市区委员会</w:t>
      </w:r>
      <w:r>
        <w:rPr>
          <w:rFonts w:ascii="黑体" w:eastAsia="黑体" w:hAnsi="宋体" w:cs="宋体" w:hint="eastAsia"/>
          <w:kern w:val="0"/>
          <w:sz w:val="32"/>
          <w:szCs w:val="32"/>
        </w:rPr>
        <w:t>2019年政府性基金预算拨款情况说明</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中国人民政治协商会议乌鲁木齐市新市区委员会2019</w:t>
      </w:r>
      <w:r>
        <w:rPr>
          <w:rFonts w:ascii="仿宋_GB2312" w:eastAsia="仿宋_GB2312" w:hAnsi="宋体" w:cs="宋体" w:hint="eastAsia"/>
          <w:kern w:val="0"/>
          <w:sz w:val="32"/>
          <w:szCs w:val="32"/>
        </w:rPr>
        <w:t>年没有使用政府性基金预算拨款安排的支出，政府性基金预算支出情况表为空表。</w:t>
      </w:r>
    </w:p>
    <w:p w:rsidR="00702304" w:rsidRDefault="00F3269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w:t>
      </w: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本级机关运行经费财政拨款预算13.49 万元，比上年预算减少1.02 万元，下降7 %。主要原因是政协缩减办公开支，办公费、水电费、邮电费均缩减 。</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w:t>
      </w: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及下属单位政府采购预算0万元，其中：政府采购货物预算0万元，政府采购工程预算0万元，政府采购服务预算0       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截至2018年底，</w:t>
      </w:r>
      <w:r>
        <w:rPr>
          <w:rFonts w:ascii="仿宋_GB2312" w:eastAsia="仿宋_GB2312" w:hAnsi="宋体" w:hint="eastAsia"/>
          <w:kern w:val="0"/>
          <w:sz w:val="32"/>
          <w:szCs w:val="32"/>
        </w:rPr>
        <w:t>中国人民政治协商会议乌鲁木齐市新市区委员会</w:t>
      </w:r>
      <w:r>
        <w:rPr>
          <w:rFonts w:ascii="仿宋_GB2312" w:eastAsia="仿宋_GB2312" w:hAnsi="宋体" w:cs="宋体" w:hint="eastAsia"/>
          <w:kern w:val="0"/>
          <w:sz w:val="32"/>
          <w:szCs w:val="32"/>
        </w:rPr>
        <w:t>及下属各预算单位占用使用国有资产总体情况为</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 0万元。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2.车辆3辆，价值46.35万元；其中：一般公务用车0辆，价值0万元；执法执勤用车0辆，价值0万元；其他车辆3辆，价值46.35万元。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3.办公家具价值15.83万元。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4.其他资产价值36.35万元。</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2019年部门预算未安排购置车辆经费，安排购置50万元以上大型设备0台（套），单位价值100万元以上大型设备0台（套）。</w:t>
      </w:r>
    </w:p>
    <w:p w:rsidR="00702304" w:rsidRDefault="00F3269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702304" w:rsidRDefault="00F3269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2019年度，本年度实行绩效管理的项目5</w:t>
      </w:r>
      <w:bookmarkStart w:id="0" w:name="_GoBack"/>
      <w:bookmarkEnd w:id="0"/>
      <w:r>
        <w:rPr>
          <w:rFonts w:ascii="仿宋_GB2312" w:eastAsia="仿宋_GB2312" w:hAnsi="宋体" w:cs="宋体" w:hint="eastAsia"/>
          <w:kern w:val="0"/>
          <w:sz w:val="32"/>
          <w:szCs w:val="32"/>
        </w:rPr>
        <w:t>个，涉及预算金额47.32 万元。具体情况见下表（按项目分别填报）：</w:t>
      </w:r>
    </w:p>
    <w:p w:rsidR="00702304" w:rsidRDefault="00702304">
      <w:pPr>
        <w:widowControl/>
        <w:spacing w:line="600" w:lineRule="exact"/>
        <w:rPr>
          <w:rFonts w:ascii="仿宋_GB2312" w:eastAsia="仿宋_GB2312" w:hAnsi="宋体" w:cs="宋体"/>
          <w:kern w:val="0"/>
          <w:sz w:val="32"/>
          <w:szCs w:val="32"/>
        </w:rPr>
        <w:sectPr w:rsidR="00702304">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702304">
        <w:trPr>
          <w:trHeight w:val="406"/>
        </w:trPr>
        <w:tc>
          <w:tcPr>
            <w:tcW w:w="13973" w:type="dxa"/>
            <w:gridSpan w:val="13"/>
            <w:tcBorders>
              <w:top w:val="nil"/>
              <w:left w:val="nil"/>
              <w:bottom w:val="nil"/>
              <w:right w:val="nil"/>
            </w:tcBorders>
            <w:shd w:val="clear" w:color="auto" w:fill="auto"/>
            <w:noWrap/>
            <w:vAlign w:val="bottom"/>
          </w:tcPr>
          <w:p w:rsidR="00702304" w:rsidRDefault="00F326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02304">
        <w:trPr>
          <w:trHeight w:val="271"/>
        </w:trPr>
        <w:tc>
          <w:tcPr>
            <w:tcW w:w="219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r>
      <w:tr w:rsidR="0070230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中国人民政治协商会议乌鲁木齐市新市区委员会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访惠聚工作经费</w:t>
            </w:r>
          </w:p>
        </w:tc>
      </w:tr>
      <w:tr w:rsidR="0070230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4.32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4.32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圆满完成2019年度上级安排的访惠聚工作，做好访惠聚工作队后盾，保障队员各项补助及时到位发放。</w:t>
            </w:r>
          </w:p>
        </w:tc>
      </w:tr>
      <w:tr w:rsidR="0070230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补助到位金额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按实际金额据实发放</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60元/天，全勤1800元/月</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每月按时拨付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每月拨付到位</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审批流程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提高审批时效</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每月补助金额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每月补助金额</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工作队人员数量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工作队人员实际人数</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拨付形式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财政支付</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银行工资卡代发</w:t>
            </w:r>
          </w:p>
        </w:tc>
      </w:tr>
      <w:tr w:rsidR="0070230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工作队队员生活补助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提高队员生活水平</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702304">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“访惠聚”工作各项制度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遵守制度提高工作效率</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通过入户走访，使群众了解将和政府各项惠民政策，保障辖区平安</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辖区</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建设社区工作，社会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社会</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帮扶群众解决困难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帮扶困难群众</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702304">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702304">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社区工作人员认可满意率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社区居住群众认可满意率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r w:rsidR="00702304">
        <w:trPr>
          <w:trHeight w:val="406"/>
        </w:trPr>
        <w:tc>
          <w:tcPr>
            <w:tcW w:w="13973" w:type="dxa"/>
            <w:gridSpan w:val="13"/>
            <w:tcBorders>
              <w:top w:val="nil"/>
              <w:left w:val="nil"/>
              <w:bottom w:val="nil"/>
              <w:right w:val="nil"/>
            </w:tcBorders>
            <w:shd w:val="clear" w:color="auto" w:fill="auto"/>
            <w:noWrap/>
            <w:vAlign w:val="bottom"/>
          </w:tcPr>
          <w:p w:rsidR="00702304" w:rsidRDefault="00F326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02304">
        <w:trPr>
          <w:trHeight w:val="271"/>
        </w:trPr>
        <w:tc>
          <w:tcPr>
            <w:tcW w:w="219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r>
      <w:tr w:rsidR="0070230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中国人民政治协商会议乌鲁木齐市新市区委员会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九届四次会议经费</w:t>
            </w:r>
          </w:p>
        </w:tc>
      </w:tr>
      <w:tr w:rsidR="0070230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20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20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项目计划在2019年1月，根据《中国人民政治协商会议章程》规定，召开政协九届四次全体会议，听取政府工作报告；法槌两院工作报告；经济、财政工作报告，讨论并通过有关的决议 。同时，通过有效会议组织，确保委员真正履行民主监督、政治协商、参政议政职能，</w:t>
            </w:r>
          </w:p>
        </w:tc>
      </w:tr>
      <w:tr w:rsidR="0070230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会议费控制在预算范围内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会议经费　≤20万元</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会议费较上一年度削减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会议经费根据实际情况削减1万元左右</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根据区委常委会要求于2019年1月底前完成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一年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根据区委常委会原则上同意，会期不超过3天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会期控制在2天内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参与会议人数（包含政协委员、列度人员、工作人员）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参与会议人数≦　200人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委员提出提案数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大会期间提出提案≧100件</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完成政协会议各项工作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保障政协九届四次会议圆满完成</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保证政协委员履行职能，享受委员权利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保障各组委员参加全会会议不少于2次，小组讨论不少于2次　</w:t>
            </w:r>
          </w:p>
        </w:tc>
      </w:tr>
      <w:tr w:rsidR="0070230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政协委员在政协九届四次全会上提出经济建设方面的建议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经济类提案和建议≤10件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在一定时期内发挥影响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5"/>
                <w:szCs w:val="15"/>
              </w:rPr>
            </w:pPr>
            <w:r>
              <w:rPr>
                <w:rFonts w:ascii="宋体" w:hAnsi="宋体" w:cs="宋体" w:hint="eastAsia"/>
                <w:kern w:val="0"/>
                <w:sz w:val="15"/>
                <w:szCs w:val="15"/>
              </w:rPr>
              <w:t xml:space="preserve">1年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对下一次全会有良好的指导作用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为政协九届五次会议提供借鉴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本次全会</w:t>
            </w:r>
            <w:r>
              <w:rPr>
                <w:rFonts w:ascii="宋体" w:hAnsi="宋体" w:cs="宋体" w:hint="eastAsia"/>
                <w:kern w:val="0"/>
                <w:sz w:val="20"/>
                <w:szCs w:val="20"/>
              </w:rPr>
              <w:t>为政协参加单位和全体委员提供参政议政平台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保障各界别委员能代表本界别建言献策</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发挥委员职能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发挥委员参政议政、民主监督、参政议职能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政协委员满意度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90%以上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全区干部对两会认知度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达90%以上　</w:t>
            </w:r>
          </w:p>
        </w:tc>
      </w:tr>
      <w:tr w:rsidR="00702304">
        <w:trPr>
          <w:trHeight w:val="406"/>
        </w:trPr>
        <w:tc>
          <w:tcPr>
            <w:tcW w:w="13973" w:type="dxa"/>
            <w:gridSpan w:val="13"/>
            <w:tcBorders>
              <w:top w:val="nil"/>
              <w:left w:val="nil"/>
              <w:bottom w:val="nil"/>
              <w:right w:val="nil"/>
            </w:tcBorders>
            <w:shd w:val="clear" w:color="auto" w:fill="auto"/>
            <w:noWrap/>
            <w:vAlign w:val="bottom"/>
          </w:tcPr>
          <w:p w:rsidR="00702304" w:rsidRDefault="00F326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02304">
        <w:trPr>
          <w:trHeight w:val="271"/>
        </w:trPr>
        <w:tc>
          <w:tcPr>
            <w:tcW w:w="219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r>
      <w:tr w:rsidR="0070230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中国人民政治协商会议乌鲁木齐市新市区委员会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政协常委会、知情明政通报会及中秋茶话会</w:t>
            </w:r>
          </w:p>
        </w:tc>
      </w:tr>
      <w:tr w:rsidR="0070230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根据工作安排，完成2019年度政协常委会工作，保证常委会务项工作得到落实。完成知情明政通报会，使委员及时了解我区半年工作情况。</w:t>
            </w:r>
          </w:p>
        </w:tc>
      </w:tr>
      <w:tr w:rsidR="0070230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总支出不超过预算安排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≤5万元</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常委会及知情明政通报会、中秋茶话会支出视规模而定，不超过预算安排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每次活动视规模经费支出　≤0.5万元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全年根据节点安排会议时间，在2019年度完成任务.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常委会1季度1次、年中举行知情明政通报会，中秋茶话会在2019年10月前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常委会议召开次数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原则上1季度1次常委会，参会人数不少于2/3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知情明政通报会召开次数、中秋茶话会召开次数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各1次，参会人员不秒于2/3</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完成历次常委会既定议程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常委参会人数不少于常委会≧4次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听取政府领导通报半年工作情况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使委员更直接了解我区区情　</w:t>
            </w:r>
          </w:p>
        </w:tc>
      </w:tr>
      <w:tr w:rsidR="0070230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节约办会，做到经费支出不超预算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仿宋" w:eastAsia="仿宋" w:hAnsi="仿宋" w:hint="eastAsia"/>
                <w:color w:val="333333"/>
                <w:kern w:val="0"/>
                <w:sz w:val="18"/>
                <w:szCs w:val="18"/>
              </w:rPr>
              <w:t>资金分配合理，突出重点，资金分配和使用方向均保证工作的正常进行</w:t>
            </w:r>
            <w:r>
              <w:rPr>
                <w:rFonts w:ascii="宋体" w:hAnsi="宋体" w:cs="宋体" w:hint="eastAsia"/>
                <w:kern w:val="0"/>
                <w:sz w:val="18"/>
                <w:szCs w:val="18"/>
              </w:rPr>
              <w:t xml:space="preserve">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在一定时间内发挥影响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1年</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在特定人群（委员）中发挥影响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1年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政协会议产生的社会效益</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有利于坚持和改善共产党的领导，有利于更广泛地联系和团结各界别委员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通过政协会议扩大委员对政协工作的认知度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促进政协4个专委会委员团结更加紧密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参会人员满意度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不低于95%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政协常委会满意度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不低于95%　</w:t>
            </w:r>
          </w:p>
        </w:tc>
      </w:tr>
      <w:tr w:rsidR="00702304">
        <w:trPr>
          <w:trHeight w:val="406"/>
        </w:trPr>
        <w:tc>
          <w:tcPr>
            <w:tcW w:w="13973" w:type="dxa"/>
            <w:gridSpan w:val="13"/>
            <w:tcBorders>
              <w:top w:val="nil"/>
              <w:left w:val="nil"/>
              <w:bottom w:val="nil"/>
              <w:right w:val="nil"/>
            </w:tcBorders>
            <w:shd w:val="clear" w:color="auto" w:fill="auto"/>
            <w:noWrap/>
            <w:vAlign w:val="bottom"/>
          </w:tcPr>
          <w:p w:rsidR="00702304" w:rsidRDefault="00F326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02304">
        <w:trPr>
          <w:trHeight w:val="271"/>
        </w:trPr>
        <w:tc>
          <w:tcPr>
            <w:tcW w:w="219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r>
      <w:tr w:rsidR="0070230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中国人民政治协商会议乌鲁木齐市新市区委员会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政协委员活动经费</w:t>
            </w:r>
          </w:p>
        </w:tc>
      </w:tr>
      <w:tr w:rsidR="0070230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13</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13</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在2019年，根据《中国人民政治协商会议章程》规定，除召开政协全体会议外，开展政协委员视察、座谈、外出考察以及学习培训各项活动　</w:t>
            </w:r>
          </w:p>
        </w:tc>
      </w:tr>
      <w:tr w:rsidR="0070230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委员活动经费严格执行成本控制，不能超出年度预算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1次活动经费≤0.5万元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政协专题视察活动严格执行成本控制，不能超出年度预算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1次视察活动　≤0.5万元</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委员活动经费资金到位率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资金到位率达100%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委员活动是否按年度工作计划执行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组织活动次数达年度工作计划要求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组织委员参加活动人数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各专委会活动本委参加委员人数不少于3/4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各专委会年度组织本委委员活动数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各专委会活动全年不少于2次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按活动要求圆满完成，达到组织活动的目的。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至少形成1份委员活动信息或社情民意呈上级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圆满完成政协常委会通过的年度工作计划。</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为年终工作总结提供信息参考和具体事例</w:t>
            </w:r>
          </w:p>
        </w:tc>
      </w:tr>
      <w:tr w:rsidR="0070230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通过</w:t>
            </w:r>
            <w:r>
              <w:rPr>
                <w:rFonts w:ascii="宋体" w:hAnsi="宋体" w:cs="宋体" w:hint="eastAsia"/>
                <w:color w:val="000000"/>
                <w:kern w:val="0"/>
                <w:sz w:val="18"/>
                <w:szCs w:val="18"/>
              </w:rPr>
              <w:t>对经济类提案的调研视察</w:t>
            </w:r>
            <w:r>
              <w:rPr>
                <w:rFonts w:ascii="宋体" w:hAnsi="宋体" w:cs="宋体"/>
                <w:color w:val="000000"/>
                <w:kern w:val="0"/>
                <w:sz w:val="18"/>
                <w:szCs w:val="18"/>
              </w:rPr>
              <w:t>，</w:t>
            </w:r>
            <w:r>
              <w:rPr>
                <w:rFonts w:ascii="宋体" w:hAnsi="宋体" w:cs="宋体" w:hint="eastAsia"/>
                <w:color w:val="000000"/>
                <w:kern w:val="0"/>
                <w:sz w:val="18"/>
                <w:szCs w:val="18"/>
              </w:rPr>
              <w:t>为我区济建设建言献策，促进发展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textAlignment w:val="center"/>
              <w:rPr>
                <w:color w:val="000000"/>
                <w:sz w:val="18"/>
                <w:szCs w:val="18"/>
              </w:rPr>
            </w:pPr>
            <w:r>
              <w:rPr>
                <w:rFonts w:ascii="宋体" w:hAnsi="宋体" w:cs="宋体" w:hint="eastAsia"/>
                <w:color w:val="000000"/>
                <w:kern w:val="0"/>
                <w:sz w:val="18"/>
                <w:szCs w:val="18"/>
              </w:rPr>
              <w:t>经济类提案办复率达90%以上</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通过视察</w:t>
            </w:r>
            <w:r>
              <w:rPr>
                <w:rFonts w:ascii="宋体" w:hAnsi="宋体" w:cs="宋体" w:hint="eastAsia"/>
                <w:color w:val="000000"/>
                <w:kern w:val="0"/>
                <w:sz w:val="18"/>
                <w:szCs w:val="18"/>
              </w:rPr>
              <w:t>工业旅游项目</w:t>
            </w:r>
            <w:r>
              <w:rPr>
                <w:rFonts w:ascii="宋体" w:hAnsi="宋体" w:cs="宋体"/>
                <w:color w:val="000000"/>
                <w:kern w:val="0"/>
                <w:sz w:val="18"/>
                <w:szCs w:val="18"/>
              </w:rPr>
              <w:t>，</w:t>
            </w:r>
            <w:r>
              <w:rPr>
                <w:rFonts w:ascii="宋体" w:hAnsi="宋体" w:cs="宋体" w:hint="eastAsia"/>
                <w:color w:val="000000"/>
                <w:kern w:val="0"/>
                <w:sz w:val="18"/>
                <w:szCs w:val="18"/>
              </w:rPr>
              <w:t>为我区工业游建言献策，促进旅游业发展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为提升产业发展做贡献。</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参于政务、抓好事务、做好服务，发挥调协四方的枢纽作用，履行政治协商、民主监督、参政议政职能，促进</w:t>
            </w:r>
            <w:r>
              <w:rPr>
                <w:rFonts w:ascii="宋体" w:hAnsi="宋体" w:cs="宋体" w:hint="eastAsia"/>
                <w:color w:val="000000"/>
                <w:kern w:val="0"/>
                <w:sz w:val="18"/>
                <w:szCs w:val="18"/>
              </w:rPr>
              <w:t>我区</w:t>
            </w:r>
            <w:r>
              <w:rPr>
                <w:rFonts w:ascii="宋体" w:hAnsi="宋体" w:cs="宋体"/>
                <w:color w:val="000000"/>
                <w:kern w:val="0"/>
                <w:sz w:val="18"/>
                <w:szCs w:val="18"/>
              </w:rPr>
              <w:t>经济和社会事业全面发展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促进</w:t>
            </w:r>
            <w:r>
              <w:rPr>
                <w:rFonts w:ascii="宋体" w:hAnsi="宋体" w:cs="宋体" w:hint="eastAsia"/>
                <w:color w:val="000000"/>
                <w:kern w:val="0"/>
                <w:sz w:val="18"/>
                <w:szCs w:val="18"/>
              </w:rPr>
              <w:t>我区</w:t>
            </w:r>
            <w:r>
              <w:rPr>
                <w:rFonts w:ascii="宋体" w:hAnsi="宋体" w:cs="宋体"/>
                <w:color w:val="000000"/>
                <w:kern w:val="0"/>
                <w:sz w:val="18"/>
                <w:szCs w:val="18"/>
              </w:rPr>
              <w:t>经济和社会事业全面发展</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组织委员</w:t>
            </w:r>
            <w:r>
              <w:rPr>
                <w:rFonts w:ascii="宋体" w:hAnsi="宋体" w:cs="宋体"/>
                <w:color w:val="000000"/>
                <w:kern w:val="0"/>
                <w:sz w:val="18"/>
                <w:szCs w:val="18"/>
              </w:rPr>
              <w:t>开展</w:t>
            </w:r>
            <w:r>
              <w:rPr>
                <w:rFonts w:ascii="宋体" w:hAnsi="宋体" w:cs="宋体" w:hint="eastAsia"/>
                <w:color w:val="000000"/>
                <w:kern w:val="0"/>
                <w:sz w:val="18"/>
                <w:szCs w:val="18"/>
              </w:rPr>
              <w:t>医疗卫生教育等调研视察活动，使委员深入基层和群众。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促进社会事务类提案的办复率达90%以上</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组织委员开展“采风”活动，推动政协文史资料征集工作向前进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为留存历史做贡献</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组织委员参加</w:t>
            </w:r>
            <w:r>
              <w:rPr>
                <w:rFonts w:ascii="宋体" w:hAnsi="宋体" w:cs="宋体" w:hint="eastAsia"/>
                <w:color w:val="000000"/>
                <w:kern w:val="0"/>
                <w:sz w:val="18"/>
                <w:szCs w:val="18"/>
              </w:rPr>
              <w:t>“树上山”等视察调研活动，推动我区</w:t>
            </w:r>
            <w:r>
              <w:rPr>
                <w:rFonts w:ascii="宋体" w:hAnsi="宋体" w:cs="宋体"/>
                <w:color w:val="000000"/>
                <w:kern w:val="0"/>
                <w:sz w:val="18"/>
                <w:szCs w:val="18"/>
              </w:rPr>
              <w:t>绿色发展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color w:val="000000"/>
                <w:kern w:val="0"/>
                <w:sz w:val="18"/>
                <w:szCs w:val="18"/>
              </w:rPr>
              <w:t>提高空气优良率</w:t>
            </w:r>
            <w:r>
              <w:rPr>
                <w:rFonts w:ascii="宋体" w:hAnsi="宋体" w:cs="宋体" w:hint="eastAsia"/>
                <w:kern w:val="0"/>
                <w:sz w:val="18"/>
                <w:szCs w:val="18"/>
              </w:rPr>
              <w:t xml:space="preserve">　</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委员对活动安排的满意度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不低于95%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委员参加活动的出勤率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争取全年每位委员至少参加1次活动　</w:t>
            </w:r>
          </w:p>
        </w:tc>
      </w:tr>
      <w:tr w:rsidR="00702304">
        <w:trPr>
          <w:trHeight w:val="406"/>
        </w:trPr>
        <w:tc>
          <w:tcPr>
            <w:tcW w:w="13973" w:type="dxa"/>
            <w:gridSpan w:val="13"/>
            <w:tcBorders>
              <w:top w:val="nil"/>
              <w:left w:val="nil"/>
              <w:bottom w:val="nil"/>
              <w:right w:val="nil"/>
            </w:tcBorders>
            <w:shd w:val="clear" w:color="auto" w:fill="auto"/>
            <w:noWrap/>
            <w:vAlign w:val="bottom"/>
          </w:tcPr>
          <w:p w:rsidR="00702304" w:rsidRDefault="00F326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02304">
        <w:trPr>
          <w:trHeight w:val="271"/>
        </w:trPr>
        <w:tc>
          <w:tcPr>
            <w:tcW w:w="219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02304" w:rsidRDefault="00702304">
            <w:pPr>
              <w:widowControl/>
              <w:jc w:val="left"/>
              <w:rPr>
                <w:rFonts w:ascii="宋体" w:hAnsi="宋体" w:cs="宋体"/>
                <w:color w:val="000000"/>
                <w:kern w:val="0"/>
                <w:sz w:val="22"/>
              </w:rPr>
            </w:pPr>
          </w:p>
        </w:tc>
      </w:tr>
      <w:tr w:rsidR="0070230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中国人民政治协商会议乌鲁木齐市新市区委员会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政协专题调研</w:t>
            </w:r>
          </w:p>
        </w:tc>
      </w:tr>
      <w:tr w:rsidR="0070230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对上级政协和区委交办的调研任务以及本级政协关注的热点难点问题开展调研，推动工作目标任务的落实，确保调研结果呈报上级做参考。　</w:t>
            </w:r>
          </w:p>
        </w:tc>
      </w:tr>
      <w:tr w:rsidR="0070230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政协组织专题调研严格执行成本控制，不能超出年度预算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1次调研经费≤0.5万元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政协组织专题视察严格执行成本控制，不能超出年度预算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1次视察活动　≤0.5万元</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调研视察资金到位率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资金到位率达100%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调研视察是否按计划执行率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组织活动次数达年度工作计划要求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组织委员参加人数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1次专题调研参加人数不少于5名委员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进行全体委员参加培训或学习会次数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全年不少于2次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圆满完成调研任务。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至少撰写1份调研或视察报告呈送上级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圆满完成委员培训任务。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至少聘请1名专家学者进行专题授课　</w:t>
            </w:r>
          </w:p>
        </w:tc>
      </w:tr>
      <w:tr w:rsidR="0070230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通过</w:t>
            </w:r>
            <w:r>
              <w:rPr>
                <w:rFonts w:ascii="宋体" w:hAnsi="宋体" w:cs="宋体" w:hint="eastAsia"/>
                <w:color w:val="000000"/>
                <w:kern w:val="0"/>
                <w:sz w:val="18"/>
                <w:szCs w:val="18"/>
              </w:rPr>
              <w:t>对经济类提案的调研视察</w:t>
            </w:r>
            <w:r>
              <w:rPr>
                <w:rFonts w:ascii="宋体" w:hAnsi="宋体" w:cs="宋体"/>
                <w:color w:val="000000"/>
                <w:kern w:val="0"/>
                <w:sz w:val="18"/>
                <w:szCs w:val="18"/>
              </w:rPr>
              <w:t>，</w:t>
            </w:r>
            <w:r>
              <w:rPr>
                <w:rFonts w:ascii="宋体" w:hAnsi="宋体" w:cs="宋体" w:hint="eastAsia"/>
                <w:color w:val="000000"/>
                <w:kern w:val="0"/>
                <w:sz w:val="18"/>
                <w:szCs w:val="18"/>
              </w:rPr>
              <w:t>为我区济建设建言献策，促进发展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textAlignment w:val="center"/>
              <w:rPr>
                <w:color w:val="000000"/>
                <w:sz w:val="18"/>
                <w:szCs w:val="18"/>
              </w:rPr>
            </w:pPr>
            <w:r>
              <w:rPr>
                <w:rFonts w:ascii="宋体" w:hAnsi="宋体" w:cs="宋体" w:hint="eastAsia"/>
                <w:color w:val="000000"/>
                <w:kern w:val="0"/>
                <w:sz w:val="18"/>
                <w:szCs w:val="18"/>
              </w:rPr>
              <w:t>经济类提案办复率达90%以上</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通过视察</w:t>
            </w:r>
            <w:r>
              <w:rPr>
                <w:rFonts w:ascii="宋体" w:hAnsi="宋体" w:cs="宋体" w:hint="eastAsia"/>
                <w:color w:val="000000"/>
                <w:kern w:val="0"/>
                <w:sz w:val="18"/>
                <w:szCs w:val="18"/>
              </w:rPr>
              <w:t>工业旅游项目</w:t>
            </w:r>
            <w:r>
              <w:rPr>
                <w:rFonts w:ascii="宋体" w:hAnsi="宋体" w:cs="宋体"/>
                <w:color w:val="000000"/>
                <w:kern w:val="0"/>
                <w:sz w:val="18"/>
                <w:szCs w:val="18"/>
              </w:rPr>
              <w:t>，</w:t>
            </w:r>
            <w:r>
              <w:rPr>
                <w:rFonts w:ascii="宋体" w:hAnsi="宋体" w:cs="宋体" w:hint="eastAsia"/>
                <w:color w:val="000000"/>
                <w:kern w:val="0"/>
                <w:sz w:val="18"/>
                <w:szCs w:val="18"/>
              </w:rPr>
              <w:t>为我区工业游建言献策，促进旅游业发展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为提升产业发展做贡献。</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参于政务、抓好事务、做好服务，发挥调协四方的枢纽作用，履行政治协商、民主监督、参政议政职能，促进</w:t>
            </w:r>
            <w:r>
              <w:rPr>
                <w:rFonts w:ascii="宋体" w:hAnsi="宋体" w:cs="宋体" w:hint="eastAsia"/>
                <w:color w:val="000000"/>
                <w:kern w:val="0"/>
                <w:sz w:val="18"/>
                <w:szCs w:val="18"/>
              </w:rPr>
              <w:t>我区</w:t>
            </w:r>
            <w:r>
              <w:rPr>
                <w:rFonts w:ascii="宋体" w:hAnsi="宋体" w:cs="宋体"/>
                <w:color w:val="000000"/>
                <w:kern w:val="0"/>
                <w:sz w:val="18"/>
                <w:szCs w:val="18"/>
              </w:rPr>
              <w:t>经济和社会事业全面发展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促进</w:t>
            </w:r>
            <w:r>
              <w:rPr>
                <w:rFonts w:ascii="宋体" w:hAnsi="宋体" w:cs="宋体" w:hint="eastAsia"/>
                <w:color w:val="000000"/>
                <w:kern w:val="0"/>
                <w:sz w:val="18"/>
                <w:szCs w:val="18"/>
              </w:rPr>
              <w:t>我区</w:t>
            </w:r>
            <w:r>
              <w:rPr>
                <w:rFonts w:ascii="宋体" w:hAnsi="宋体" w:cs="宋体"/>
                <w:color w:val="000000"/>
                <w:kern w:val="0"/>
                <w:sz w:val="18"/>
                <w:szCs w:val="18"/>
              </w:rPr>
              <w:t>经济和社会事业全面发展</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开展</w:t>
            </w:r>
            <w:r>
              <w:rPr>
                <w:rFonts w:ascii="宋体" w:hAnsi="宋体" w:cs="宋体" w:hint="eastAsia"/>
                <w:color w:val="000000"/>
                <w:kern w:val="0"/>
                <w:sz w:val="18"/>
                <w:szCs w:val="18"/>
              </w:rPr>
              <w:t>医疗卫生教育等调研视察，提高各界别委员对政府单项工作的理解程度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促进社会事务类提案的办复率达90%以上</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color w:val="000000"/>
                <w:kern w:val="0"/>
                <w:sz w:val="18"/>
                <w:szCs w:val="18"/>
              </w:rPr>
              <w:t>通过</w:t>
            </w:r>
            <w:r>
              <w:rPr>
                <w:rFonts w:ascii="宋体" w:hAnsi="宋体" w:cs="宋体" w:hint="eastAsia"/>
                <w:color w:val="000000"/>
                <w:kern w:val="0"/>
                <w:sz w:val="18"/>
                <w:szCs w:val="18"/>
              </w:rPr>
              <w:t>政协开展文史资料征集工作，促进我区</w:t>
            </w:r>
            <w:r>
              <w:rPr>
                <w:rFonts w:ascii="宋体" w:hAnsi="宋体" w:cs="宋体"/>
                <w:color w:val="000000"/>
                <w:kern w:val="0"/>
                <w:sz w:val="18"/>
                <w:szCs w:val="18"/>
              </w:rPr>
              <w:t>文化产业发展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textAlignment w:val="center"/>
              <w:rPr>
                <w:color w:val="000000"/>
                <w:sz w:val="18"/>
                <w:szCs w:val="18"/>
              </w:rPr>
            </w:pPr>
            <w:r>
              <w:rPr>
                <w:rFonts w:ascii="宋体" w:hAnsi="宋体" w:cs="宋体" w:hint="eastAsia"/>
                <w:color w:val="000000"/>
                <w:kern w:val="0"/>
                <w:sz w:val="18"/>
                <w:szCs w:val="18"/>
              </w:rPr>
              <w:t>为留存历史做贡献</w:t>
            </w:r>
          </w:p>
        </w:tc>
      </w:tr>
      <w:tr w:rsidR="00702304">
        <w:trPr>
          <w:trHeight w:val="283"/>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color w:val="000000"/>
                <w:kern w:val="0"/>
                <w:sz w:val="18"/>
                <w:szCs w:val="18"/>
              </w:rPr>
              <w:t>通过</w:t>
            </w:r>
            <w:r>
              <w:rPr>
                <w:rFonts w:ascii="宋体" w:hAnsi="宋体" w:cs="宋体" w:hint="eastAsia"/>
                <w:color w:val="000000"/>
                <w:kern w:val="0"/>
                <w:sz w:val="18"/>
                <w:szCs w:val="18"/>
              </w:rPr>
              <w:t>“树上山”等视察调研，推动我区</w:t>
            </w:r>
            <w:r>
              <w:rPr>
                <w:rFonts w:ascii="宋体" w:hAnsi="宋体" w:cs="宋体"/>
                <w:color w:val="000000"/>
                <w:kern w:val="0"/>
                <w:sz w:val="18"/>
                <w:szCs w:val="18"/>
              </w:rPr>
              <w:t>绿色发展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color w:val="000000"/>
                <w:kern w:val="0"/>
                <w:sz w:val="18"/>
                <w:szCs w:val="18"/>
              </w:rPr>
              <w:t>提高空气优良率</w:t>
            </w:r>
            <w:r>
              <w:rPr>
                <w:rFonts w:ascii="宋体" w:hAnsi="宋体" w:cs="宋体" w:hint="eastAsia"/>
                <w:kern w:val="0"/>
                <w:sz w:val="18"/>
                <w:szCs w:val="18"/>
              </w:rPr>
              <w:t xml:space="preserve">　</w:t>
            </w:r>
          </w:p>
        </w:tc>
      </w:tr>
      <w:tr w:rsidR="0070230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委员对活动安排的满意度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不低于95%　</w:t>
            </w:r>
          </w:p>
        </w:tc>
      </w:tr>
      <w:tr w:rsidR="00702304">
        <w:trPr>
          <w:trHeight w:val="271"/>
        </w:trPr>
        <w:tc>
          <w:tcPr>
            <w:tcW w:w="2195"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02304" w:rsidRDefault="0070230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02304" w:rsidRDefault="00F32693">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02304" w:rsidRDefault="00702304">
      <w:pPr>
        <w:widowControl/>
        <w:spacing w:line="560" w:lineRule="exact"/>
        <w:ind w:firstLineChars="196" w:firstLine="630"/>
        <w:jc w:val="left"/>
        <w:rPr>
          <w:rFonts w:ascii="楷体_GB2312" w:eastAsia="楷体_GB2312" w:hAnsi="宋体" w:cs="宋体"/>
          <w:b/>
          <w:kern w:val="0"/>
          <w:sz w:val="32"/>
          <w:szCs w:val="32"/>
        </w:rPr>
        <w:sectPr w:rsidR="00702304">
          <w:pgSz w:w="16838" w:h="11906" w:orient="landscape"/>
          <w:pgMar w:top="1800" w:right="1440" w:bottom="1800" w:left="1440" w:header="851" w:footer="992" w:gutter="0"/>
          <w:cols w:space="425"/>
          <w:docGrid w:type="lines" w:linePitch="312"/>
        </w:sectPr>
      </w:pPr>
    </w:p>
    <w:p w:rsidR="00702304" w:rsidRDefault="00F32693">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702304" w:rsidRDefault="00F32693">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702304" w:rsidRDefault="00702304">
      <w:pPr>
        <w:widowControl/>
        <w:spacing w:line="560" w:lineRule="exact"/>
        <w:jc w:val="left"/>
        <w:rPr>
          <w:rFonts w:ascii="仿宋_GB2312" w:eastAsia="仿宋_GB2312" w:hAnsi="宋体" w:cs="宋体"/>
          <w:kern w:val="0"/>
          <w:sz w:val="32"/>
          <w:szCs w:val="32"/>
        </w:rPr>
      </w:pPr>
    </w:p>
    <w:p w:rsidR="00702304" w:rsidRDefault="00F32693" w:rsidP="00AF188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02304" w:rsidRDefault="00F3269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w:t>
      </w:r>
      <w:r>
        <w:rPr>
          <w:rFonts w:ascii="仿宋_GB2312" w:eastAsia="仿宋_GB2312" w:hint="eastAsia"/>
          <w:sz w:val="32"/>
          <w:szCs w:val="32"/>
        </w:rPr>
        <w:lastRenderedPageBreak/>
        <w:t>接待）支出。</w:t>
      </w:r>
    </w:p>
    <w:p w:rsidR="00702304" w:rsidRDefault="00F32693">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指各部门的公用经费，包括办公及印刷费、邮电费、差旅费、会议费、福利费、日常维修费、专用材料及一般设备购置费、办公用房水电费、办公用房取暖费、办公用房物业管理费、公务用车运行费及其他费用。</w:t>
      </w:r>
    </w:p>
    <w:p w:rsidR="00702304" w:rsidRDefault="00702304">
      <w:pPr>
        <w:spacing w:line="550" w:lineRule="exact"/>
        <w:ind w:firstLine="640"/>
        <w:rPr>
          <w:rFonts w:ascii="仿宋_GB2312" w:eastAsia="仿宋_GB2312"/>
          <w:b/>
          <w:szCs w:val="20"/>
        </w:rPr>
      </w:pPr>
    </w:p>
    <w:p w:rsidR="00702304" w:rsidRDefault="00702304">
      <w:pPr>
        <w:widowControl/>
        <w:spacing w:line="560" w:lineRule="exact"/>
        <w:jc w:val="left"/>
        <w:rPr>
          <w:rFonts w:ascii="仿宋_GB2312" w:eastAsia="仿宋_GB2312" w:hAnsi="宋体" w:cs="宋体"/>
          <w:kern w:val="0"/>
          <w:sz w:val="32"/>
          <w:szCs w:val="32"/>
        </w:rPr>
      </w:pPr>
    </w:p>
    <w:p w:rsidR="00702304" w:rsidRDefault="00702304">
      <w:pPr>
        <w:widowControl/>
        <w:spacing w:line="560" w:lineRule="exact"/>
        <w:jc w:val="left"/>
        <w:rPr>
          <w:rFonts w:ascii="仿宋_GB2312" w:eastAsia="仿宋_GB2312" w:hAnsi="宋体" w:cs="宋体"/>
          <w:kern w:val="0"/>
          <w:sz w:val="32"/>
          <w:szCs w:val="32"/>
        </w:rPr>
      </w:pPr>
    </w:p>
    <w:p w:rsidR="00702304" w:rsidRDefault="00702304">
      <w:pPr>
        <w:widowControl/>
        <w:spacing w:line="560" w:lineRule="exact"/>
        <w:jc w:val="left"/>
        <w:rPr>
          <w:rFonts w:ascii="仿宋_GB2312" w:eastAsia="仿宋_GB2312" w:hAnsi="宋体" w:cs="宋体"/>
          <w:kern w:val="0"/>
          <w:sz w:val="32"/>
          <w:szCs w:val="32"/>
        </w:rPr>
      </w:pPr>
    </w:p>
    <w:p w:rsidR="00702304" w:rsidRDefault="00702304">
      <w:pPr>
        <w:widowControl/>
        <w:spacing w:line="560" w:lineRule="exact"/>
        <w:jc w:val="left"/>
        <w:rPr>
          <w:rFonts w:ascii="仿宋_GB2312" w:eastAsia="仿宋_GB2312" w:hAnsi="宋体" w:cs="宋体"/>
          <w:kern w:val="0"/>
          <w:sz w:val="32"/>
          <w:szCs w:val="32"/>
        </w:rPr>
      </w:pPr>
    </w:p>
    <w:p w:rsidR="00702304" w:rsidRDefault="00702304">
      <w:pPr>
        <w:widowControl/>
        <w:spacing w:line="560" w:lineRule="exact"/>
        <w:jc w:val="left"/>
        <w:rPr>
          <w:rFonts w:ascii="仿宋_GB2312" w:eastAsia="仿宋_GB2312" w:hAnsi="宋体" w:cs="宋体"/>
          <w:kern w:val="0"/>
          <w:sz w:val="32"/>
          <w:szCs w:val="32"/>
        </w:rPr>
      </w:pPr>
    </w:p>
    <w:p w:rsidR="00702304" w:rsidRDefault="00F32693">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中国人民政治协商会议乌鲁木齐市新市区委员会</w:t>
      </w:r>
    </w:p>
    <w:p w:rsidR="00702304" w:rsidRDefault="00F32693">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702304" w:rsidRDefault="00702304"/>
    <w:p w:rsidR="00702304" w:rsidRDefault="00702304"/>
    <w:sectPr w:rsidR="00702304" w:rsidSect="00702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0B" w:rsidRDefault="0097050B" w:rsidP="00702304">
      <w:r>
        <w:separator/>
      </w:r>
    </w:p>
  </w:endnote>
  <w:endnote w:type="continuationSeparator" w:id="1">
    <w:p w:rsidR="0097050B" w:rsidRDefault="0097050B" w:rsidP="00702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04" w:rsidRDefault="00F74C6B">
    <w:pPr>
      <w:pStyle w:val="a4"/>
      <w:rPr>
        <w:rFonts w:ascii="宋体" w:eastAsia="宋体" w:hAnsi="宋体"/>
        <w:sz w:val="28"/>
        <w:szCs w:val="28"/>
      </w:rPr>
    </w:pPr>
    <w:r>
      <w:rPr>
        <w:rFonts w:ascii="宋体" w:eastAsia="宋体" w:hAnsi="宋体"/>
        <w:sz w:val="28"/>
        <w:szCs w:val="28"/>
      </w:rPr>
      <w:fldChar w:fldCharType="begin"/>
    </w:r>
    <w:r w:rsidR="00F32693">
      <w:rPr>
        <w:rFonts w:ascii="宋体" w:eastAsia="宋体" w:hAnsi="宋体"/>
        <w:sz w:val="28"/>
        <w:szCs w:val="28"/>
      </w:rPr>
      <w:instrText>PAGE   \* MERGEFORMAT</w:instrText>
    </w:r>
    <w:r>
      <w:rPr>
        <w:rFonts w:ascii="宋体" w:eastAsia="宋体" w:hAnsi="宋体"/>
        <w:sz w:val="28"/>
        <w:szCs w:val="28"/>
      </w:rPr>
      <w:fldChar w:fldCharType="separate"/>
    </w:r>
    <w:r w:rsidR="00F32693">
      <w:rPr>
        <w:rFonts w:ascii="宋体" w:eastAsia="宋体" w:hAnsi="宋体"/>
        <w:sz w:val="28"/>
        <w:szCs w:val="28"/>
        <w:lang w:val="zh-CN"/>
      </w:rPr>
      <w:t>-</w:t>
    </w:r>
    <w:r w:rsidR="00F32693">
      <w:rPr>
        <w:rFonts w:ascii="宋体" w:eastAsia="宋体" w:hAnsi="宋体"/>
        <w:sz w:val="28"/>
        <w:szCs w:val="28"/>
      </w:rPr>
      <w:t xml:space="preserve"> 30 -</w:t>
    </w:r>
    <w:r>
      <w:rPr>
        <w:rFonts w:ascii="宋体" w:eastAsia="宋体" w:hAnsi="宋体"/>
        <w:sz w:val="28"/>
        <w:szCs w:val="28"/>
      </w:rPr>
      <w:fldChar w:fldCharType="end"/>
    </w:r>
  </w:p>
  <w:p w:rsidR="00702304" w:rsidRDefault="007023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04" w:rsidRDefault="00F74C6B">
    <w:pPr>
      <w:pStyle w:val="a4"/>
      <w:jc w:val="right"/>
      <w:rPr>
        <w:rFonts w:ascii="宋体" w:eastAsia="宋体" w:hAnsi="宋体"/>
        <w:sz w:val="28"/>
        <w:szCs w:val="28"/>
      </w:rPr>
    </w:pPr>
    <w:r>
      <w:rPr>
        <w:rFonts w:ascii="宋体" w:eastAsia="宋体" w:hAnsi="宋体"/>
        <w:sz w:val="28"/>
        <w:szCs w:val="28"/>
      </w:rPr>
      <w:fldChar w:fldCharType="begin"/>
    </w:r>
    <w:r w:rsidR="00F32693">
      <w:rPr>
        <w:rFonts w:ascii="宋体" w:eastAsia="宋体" w:hAnsi="宋体"/>
        <w:sz w:val="28"/>
        <w:szCs w:val="28"/>
      </w:rPr>
      <w:instrText>PAGE   \* MERGEFORMAT</w:instrText>
    </w:r>
    <w:r>
      <w:rPr>
        <w:rFonts w:ascii="宋体" w:eastAsia="宋体" w:hAnsi="宋体"/>
        <w:sz w:val="28"/>
        <w:szCs w:val="28"/>
      </w:rPr>
      <w:fldChar w:fldCharType="separate"/>
    </w:r>
    <w:r w:rsidR="00AF188D" w:rsidRPr="00AF188D">
      <w:rPr>
        <w:rFonts w:ascii="宋体" w:eastAsia="宋体" w:hAnsi="宋体"/>
        <w:noProof/>
        <w:sz w:val="28"/>
        <w:szCs w:val="28"/>
        <w:lang w:val="zh-CN"/>
      </w:rPr>
      <w:t>29</w:t>
    </w:r>
    <w:r>
      <w:rPr>
        <w:rFonts w:ascii="宋体" w:eastAsia="宋体" w:hAnsi="宋体"/>
        <w:sz w:val="28"/>
        <w:szCs w:val="28"/>
      </w:rPr>
      <w:fldChar w:fldCharType="end"/>
    </w:r>
  </w:p>
  <w:p w:rsidR="00702304" w:rsidRDefault="007023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0B" w:rsidRDefault="0097050B" w:rsidP="00702304">
      <w:r>
        <w:separator/>
      </w:r>
    </w:p>
  </w:footnote>
  <w:footnote w:type="continuationSeparator" w:id="1">
    <w:p w:rsidR="0097050B" w:rsidRDefault="0097050B" w:rsidP="00702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144"/>
    <w:rsid w:val="000167F4"/>
    <w:rsid w:val="0003029B"/>
    <w:rsid w:val="000413A4"/>
    <w:rsid w:val="00060A4C"/>
    <w:rsid w:val="000721FC"/>
    <w:rsid w:val="00091600"/>
    <w:rsid w:val="001026FF"/>
    <w:rsid w:val="001424D7"/>
    <w:rsid w:val="001533CF"/>
    <w:rsid w:val="00165A06"/>
    <w:rsid w:val="0016720F"/>
    <w:rsid w:val="00176456"/>
    <w:rsid w:val="001831E1"/>
    <w:rsid w:val="001A7A92"/>
    <w:rsid w:val="001C634D"/>
    <w:rsid w:val="001E6505"/>
    <w:rsid w:val="001F4C69"/>
    <w:rsid w:val="0020456B"/>
    <w:rsid w:val="00243CBB"/>
    <w:rsid w:val="0024642F"/>
    <w:rsid w:val="00281DA7"/>
    <w:rsid w:val="00285014"/>
    <w:rsid w:val="002A0B86"/>
    <w:rsid w:val="002A281C"/>
    <w:rsid w:val="002A4601"/>
    <w:rsid w:val="002B5144"/>
    <w:rsid w:val="002D001B"/>
    <w:rsid w:val="002D0EA6"/>
    <w:rsid w:val="002D1039"/>
    <w:rsid w:val="002E6DA1"/>
    <w:rsid w:val="00325B17"/>
    <w:rsid w:val="0036068B"/>
    <w:rsid w:val="00371912"/>
    <w:rsid w:val="00382FEC"/>
    <w:rsid w:val="00396DD5"/>
    <w:rsid w:val="003A185C"/>
    <w:rsid w:val="003A32FB"/>
    <w:rsid w:val="003C519C"/>
    <w:rsid w:val="003D756E"/>
    <w:rsid w:val="0043029B"/>
    <w:rsid w:val="004740C8"/>
    <w:rsid w:val="0049168B"/>
    <w:rsid w:val="004A656D"/>
    <w:rsid w:val="004B1EFC"/>
    <w:rsid w:val="004B76FB"/>
    <w:rsid w:val="005163DC"/>
    <w:rsid w:val="00533257"/>
    <w:rsid w:val="005413BE"/>
    <w:rsid w:val="0056064D"/>
    <w:rsid w:val="005C4D7A"/>
    <w:rsid w:val="00602684"/>
    <w:rsid w:val="006441B5"/>
    <w:rsid w:val="0066768B"/>
    <w:rsid w:val="00684FA4"/>
    <w:rsid w:val="00686BA8"/>
    <w:rsid w:val="006A61D0"/>
    <w:rsid w:val="006B5231"/>
    <w:rsid w:val="006B5D7A"/>
    <w:rsid w:val="006F2164"/>
    <w:rsid w:val="006F5158"/>
    <w:rsid w:val="00702304"/>
    <w:rsid w:val="007270A8"/>
    <w:rsid w:val="007271EB"/>
    <w:rsid w:val="007327E6"/>
    <w:rsid w:val="00733577"/>
    <w:rsid w:val="00773FF0"/>
    <w:rsid w:val="00793970"/>
    <w:rsid w:val="0086294A"/>
    <w:rsid w:val="008C5D20"/>
    <w:rsid w:val="008F3505"/>
    <w:rsid w:val="008F3F12"/>
    <w:rsid w:val="00902BE2"/>
    <w:rsid w:val="0094473E"/>
    <w:rsid w:val="00957905"/>
    <w:rsid w:val="0097050B"/>
    <w:rsid w:val="009D37BE"/>
    <w:rsid w:val="009F333B"/>
    <w:rsid w:val="00A06825"/>
    <w:rsid w:val="00A3676D"/>
    <w:rsid w:val="00A77442"/>
    <w:rsid w:val="00A92399"/>
    <w:rsid w:val="00AA27D2"/>
    <w:rsid w:val="00AF188D"/>
    <w:rsid w:val="00AF720F"/>
    <w:rsid w:val="00B13F9B"/>
    <w:rsid w:val="00B87B30"/>
    <w:rsid w:val="00B916F7"/>
    <w:rsid w:val="00BC10B0"/>
    <w:rsid w:val="00BE4EAF"/>
    <w:rsid w:val="00C00428"/>
    <w:rsid w:val="00C016B7"/>
    <w:rsid w:val="00C23808"/>
    <w:rsid w:val="00C97CE1"/>
    <w:rsid w:val="00CB39DD"/>
    <w:rsid w:val="00CB689C"/>
    <w:rsid w:val="00CC3E9C"/>
    <w:rsid w:val="00CE7630"/>
    <w:rsid w:val="00D22407"/>
    <w:rsid w:val="00D50BFF"/>
    <w:rsid w:val="00D856D3"/>
    <w:rsid w:val="00DB0B4B"/>
    <w:rsid w:val="00DB19F3"/>
    <w:rsid w:val="00E03566"/>
    <w:rsid w:val="00E117AF"/>
    <w:rsid w:val="00E156D4"/>
    <w:rsid w:val="00E16451"/>
    <w:rsid w:val="00E27E53"/>
    <w:rsid w:val="00E5411A"/>
    <w:rsid w:val="00E66BE7"/>
    <w:rsid w:val="00E823AD"/>
    <w:rsid w:val="00E8766D"/>
    <w:rsid w:val="00E95618"/>
    <w:rsid w:val="00EC415F"/>
    <w:rsid w:val="00ED6EDC"/>
    <w:rsid w:val="00EE5B28"/>
    <w:rsid w:val="00F32693"/>
    <w:rsid w:val="00F54EE3"/>
    <w:rsid w:val="00F74C6B"/>
    <w:rsid w:val="00FC6897"/>
    <w:rsid w:val="00FC6ABD"/>
    <w:rsid w:val="00FD2ACB"/>
    <w:rsid w:val="23231B19"/>
    <w:rsid w:val="3A6E0DBA"/>
    <w:rsid w:val="424D0EAA"/>
    <w:rsid w:val="425517E2"/>
    <w:rsid w:val="43E0051F"/>
    <w:rsid w:val="44170D0D"/>
    <w:rsid w:val="477C4F69"/>
    <w:rsid w:val="4E057748"/>
    <w:rsid w:val="5C1F026F"/>
    <w:rsid w:val="6AC314CD"/>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0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702304"/>
    <w:rPr>
      <w:sz w:val="18"/>
      <w:szCs w:val="18"/>
    </w:rPr>
  </w:style>
  <w:style w:type="paragraph" w:styleId="a4">
    <w:name w:val="footer"/>
    <w:basedOn w:val="a"/>
    <w:link w:val="Char0"/>
    <w:uiPriority w:val="99"/>
    <w:rsid w:val="00702304"/>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70230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702304"/>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702304"/>
    <w:pPr>
      <w:widowControl/>
      <w:spacing w:before="100" w:beforeAutospacing="1" w:after="100" w:afterAutospacing="1"/>
      <w:jc w:val="left"/>
    </w:pPr>
    <w:rPr>
      <w:rFonts w:ascii="宋体" w:hAnsi="宋体" w:cs="宋体"/>
      <w:kern w:val="0"/>
      <w:sz w:val="24"/>
    </w:rPr>
  </w:style>
  <w:style w:type="character" w:styleId="a7">
    <w:name w:val="Strong"/>
    <w:qFormat/>
    <w:rsid w:val="00702304"/>
    <w:rPr>
      <w:rFonts w:cs="Times New Roman"/>
      <w:b/>
      <w:bCs/>
    </w:rPr>
  </w:style>
  <w:style w:type="character" w:styleId="a8">
    <w:name w:val="page number"/>
    <w:basedOn w:val="a0"/>
    <w:rsid w:val="00702304"/>
  </w:style>
  <w:style w:type="table" w:styleId="a9">
    <w:name w:val="Table Grid"/>
    <w:basedOn w:val="a1"/>
    <w:uiPriority w:val="59"/>
    <w:qFormat/>
    <w:rsid w:val="0070230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702304"/>
    <w:rPr>
      <w:rFonts w:ascii="Times New Roman" w:eastAsia="黑体" w:hAnsi="Times New Roman" w:cs="Times New Roman"/>
      <w:snapToGrid w:val="0"/>
      <w:kern w:val="0"/>
      <w:sz w:val="18"/>
      <w:szCs w:val="18"/>
    </w:rPr>
  </w:style>
  <w:style w:type="paragraph" w:customStyle="1" w:styleId="f1">
    <w:name w:val="f1"/>
    <w:basedOn w:val="a"/>
    <w:rsid w:val="00702304"/>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rsid w:val="00702304"/>
    <w:rPr>
      <w:rFonts w:ascii="Times New Roman" w:eastAsia="宋体" w:hAnsi="Times New Roman" w:cs="Times New Roman"/>
      <w:sz w:val="18"/>
      <w:szCs w:val="18"/>
    </w:rPr>
  </w:style>
  <w:style w:type="character" w:customStyle="1" w:styleId="Char1">
    <w:name w:val="页眉 Char"/>
    <w:basedOn w:val="a0"/>
    <w:link w:val="a5"/>
    <w:rsid w:val="00702304"/>
    <w:rPr>
      <w:rFonts w:ascii="Times New Roman" w:eastAsia="宋体" w:hAnsi="Times New Roman" w:cs="Times New Roman"/>
      <w:sz w:val="18"/>
      <w:szCs w:val="18"/>
    </w:rPr>
  </w:style>
  <w:style w:type="character" w:customStyle="1" w:styleId="3Char">
    <w:name w:val="正文文本缩进 3 Char"/>
    <w:basedOn w:val="a0"/>
    <w:link w:val="3"/>
    <w:rsid w:val="00702304"/>
    <w:rPr>
      <w:rFonts w:ascii="Times New Roman" w:eastAsia="仿宋_GB2312" w:hAnsi="Times New Roman" w:cs="Times New Roman"/>
      <w:sz w:val="32"/>
      <w:szCs w:val="24"/>
    </w:rPr>
  </w:style>
  <w:style w:type="paragraph" w:styleId="aa">
    <w:name w:val="List Paragraph"/>
    <w:basedOn w:val="a"/>
    <w:uiPriority w:val="34"/>
    <w:qFormat/>
    <w:rsid w:val="00702304"/>
    <w:pPr>
      <w:ind w:firstLineChars="200" w:firstLine="420"/>
    </w:pPr>
    <w:rPr>
      <w:rFonts w:ascii="Calibri" w:hAnsi="Calibri"/>
      <w:szCs w:val="22"/>
    </w:rPr>
  </w:style>
  <w:style w:type="paragraph" w:customStyle="1" w:styleId="1">
    <w:name w:val="普通(网站)1"/>
    <w:basedOn w:val="a"/>
    <w:rsid w:val="00702304"/>
    <w:rPr>
      <w:rFonts w:ascii="Calibri" w:hAnsi="Calibri" w:cs="黑体"/>
      <w:sz w:val="24"/>
    </w:rPr>
  </w:style>
  <w:style w:type="paragraph" w:customStyle="1" w:styleId="2">
    <w:name w:val="普通(网站)2"/>
    <w:basedOn w:val="a"/>
    <w:qFormat/>
    <w:rsid w:val="00702304"/>
    <w:rPr>
      <w:rFonts w:ascii="Calibri" w:hAnsi="Calibri" w:cs="黑体"/>
      <w:sz w:val="24"/>
    </w:rPr>
  </w:style>
  <w:style w:type="paragraph" w:customStyle="1" w:styleId="30">
    <w:name w:val="普通(网站)3"/>
    <w:basedOn w:val="a"/>
    <w:qFormat/>
    <w:rsid w:val="00702304"/>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231545810">
      <w:bodyDiv w:val="1"/>
      <w:marLeft w:val="0"/>
      <w:marRight w:val="0"/>
      <w:marTop w:val="0"/>
      <w:marBottom w:val="0"/>
      <w:divBdr>
        <w:top w:val="none" w:sz="0" w:space="0" w:color="auto"/>
        <w:left w:val="none" w:sz="0" w:space="0" w:color="auto"/>
        <w:bottom w:val="none" w:sz="0" w:space="0" w:color="auto"/>
        <w:right w:val="none" w:sz="0" w:space="0" w:color="auto"/>
      </w:divBdr>
    </w:div>
    <w:div w:id="1254582489">
      <w:bodyDiv w:val="1"/>
      <w:marLeft w:val="0"/>
      <w:marRight w:val="0"/>
      <w:marTop w:val="0"/>
      <w:marBottom w:val="0"/>
      <w:divBdr>
        <w:top w:val="none" w:sz="0" w:space="0" w:color="auto"/>
        <w:left w:val="none" w:sz="0" w:space="0" w:color="auto"/>
        <w:bottom w:val="none" w:sz="0" w:space="0" w:color="auto"/>
        <w:right w:val="none" w:sz="0" w:space="0" w:color="auto"/>
      </w:divBdr>
    </w:div>
    <w:div w:id="171719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2437</Words>
  <Characters>13895</Characters>
  <Application>Microsoft Office Word</Application>
  <DocSecurity>0</DocSecurity>
  <Lines>115</Lines>
  <Paragraphs>32</Paragraphs>
  <ScaleCrop>false</ScaleCrop>
  <Company>Microsoft</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14</cp:revision>
  <dcterms:created xsi:type="dcterms:W3CDTF">2019-03-04T02:49:00Z</dcterms:created>
  <dcterms:modified xsi:type="dcterms:W3CDTF">2019-08-13T13:09:00Z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