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乌鲁木齐高新区（新市区）市场监督管理局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不合格食品风险控制报告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(202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0" w:firstLineChars="200"/>
        <w:textAlignment w:val="auto"/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2021年3月</w:t>
      </w:r>
      <w:r>
        <w:rPr>
          <w:rStyle w:val="5"/>
          <w:rFonts w:hint="eastAsia" w:ascii="仿宋_GB2312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23</w:t>
      </w:r>
      <w:r>
        <w:rPr>
          <w:rStyle w:val="5"/>
          <w:rFonts w:hint="eastAsia" w:ascii="仿宋_GB2312" w:hAnsi="Calibri" w:eastAsia="仿宋_GB2312" w:cstheme="minorBidi"/>
          <w:b w:val="0"/>
          <w:i w:val="0"/>
          <w:caps w:val="0"/>
          <w:spacing w:val="0"/>
          <w:w w:val="100"/>
          <w:sz w:val="32"/>
          <w:szCs w:val="32"/>
          <w:lang w:val="en-US" w:eastAsia="zh-CN" w:bidi="ar-SA"/>
        </w:rPr>
        <w:t>日，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我局接收到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国家总局食品抽检系统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不合格食品核查处置信息，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新市区城北大道张先生海鲜店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经营鲤鱼（淡水鱼）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经抽样检验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不合格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/>
        </w:rPr>
        <w:t>现将不合格（问题）食品风险控制情况汇报如下：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抽检基本情况。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监督抽检中，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2020年11月25日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华测检测认证集团北京有限公司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受新疆维吾尔自治区市场监督管理局委托对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当事人经营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鲤鱼（淡水鱼）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进行抽样检验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。抽样基数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14公斤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，样品数量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1.9公斤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日出具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了《检验报告》，结论为：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经抽样检验，地西泮项目不符合 GB 31650-2019《食品安全国家标准 食品中兽药最大残留限量》要求，检验结论为不合格。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检验项目：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地西泮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，标准指标：不得检出，实测值7.49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μg/kg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调查处置、产品控制情况。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日我局执法人员给当事人送达了《检验报告》和《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食品安全抽样检验结果通知书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》，启动核查处置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当事人现场不能提供供货方的证照和鲤鱼的检验合格证明。执法人员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下达了《责令改正通知书》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责令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当事人立即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停止经营不符合食品安全标准的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鲤鱼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分析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查找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原因，提交整改报告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，限期提供进货查验材料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截至我局检查之日，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该批次鲤鱼已销售完毕，因属于鲜活农产品，无法召回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0" w:leftChars="0" w:hanging="2400" w:hangingChars="7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乌鲁木齐高新技术产业开发区（乌鲁木齐市新市区）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400" w:leftChars="0" w:hanging="2400" w:hangingChars="7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　　　　　　　　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市场监督管理局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5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36C8C"/>
    <w:rsid w:val="05636C8C"/>
    <w:rsid w:val="0A3B4585"/>
    <w:rsid w:val="11602BC6"/>
    <w:rsid w:val="15E937C0"/>
    <w:rsid w:val="181E4F22"/>
    <w:rsid w:val="1B2F1E02"/>
    <w:rsid w:val="1CBB3955"/>
    <w:rsid w:val="1EC37B3D"/>
    <w:rsid w:val="30656873"/>
    <w:rsid w:val="3675213A"/>
    <w:rsid w:val="3D6A62BF"/>
    <w:rsid w:val="46432B52"/>
    <w:rsid w:val="48A7368D"/>
    <w:rsid w:val="4A6774FA"/>
    <w:rsid w:val="4CF621E9"/>
    <w:rsid w:val="4E316CE2"/>
    <w:rsid w:val="4F2C5B6B"/>
    <w:rsid w:val="50B521B1"/>
    <w:rsid w:val="51E20A73"/>
    <w:rsid w:val="53581180"/>
    <w:rsid w:val="57E0569C"/>
    <w:rsid w:val="5E785132"/>
    <w:rsid w:val="63830E50"/>
    <w:rsid w:val="6B992B63"/>
    <w:rsid w:val="6C7700A4"/>
    <w:rsid w:val="78A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2020-02-09T04:40:00Z</dcterms:created>
  <dc:creator>hp</dc:creator>
  <cp:lastModifiedBy>我心依旧</cp:lastModifiedBy>
  <dcterms:modified xsi:type="dcterms:W3CDTF">2021-06-10T08:03:33Z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317E642DCDF24028BD93734308A46B2D</vt:lpwstr>
  </property>
</Properties>
</file>