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kern w:val="36"/>
          <w:sz w:val="44"/>
          <w:szCs w:val="44"/>
          <w:highlight w:val="none"/>
          <w:lang w:eastAsia="zh-CN"/>
        </w:rPr>
        <w:t>乌鲁木齐高新技术产业开发区（乌鲁木齐市新市区）转移支付执行情况说明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一、一般公共预算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2022年，高新区（新市区）收到上级补助收入410676万元，其中：返还性收入42763万元，一般性转移支付收入361224万元，专项转移支付收入6689万元。具体情况如下：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-10" w:leftChars="0" w:firstLine="640" w:firstLine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</w:rPr>
        <w:t>一般性转移支付收入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体制补助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5493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万元；均衡性转移支付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8875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万元；县级基本财力保障机制奖补资金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收入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万元；结算补助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2283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万元；企事业单位预算划转补助422万元；固定数额补助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9452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欠发达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地区转移支付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3068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一般公共服务共同财政事权转移支付收入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217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万元；公共安全共同财政事权转移支付收入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37776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万元；教育共同财政事权转移支付收入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8503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万元；科学技术共同财政事权转移支付收入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万元；文化旅游体育与传媒共同财政事权转移支付收入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313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万元；社会保障和就业共同财政事权转移支付收入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14331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万元；医疗卫生共同财政事权转移支付收入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21136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万元；节能环保共同财政事权转移支付收入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156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万元；农林水共同财政事权转移支付收入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2694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万元；交通运输共同财政事权转移支付收入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197万元；资源勘探工业信息等共同财政事权转移支付收入959；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住房保障共同财政事权转移支付收入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5799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 增值税留抵退税转移支付收入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157804万元；其他退税减税降费转移支付收入29002万元；补充县区财力转移支付收入46762万元；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其他一般性转移支付收入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5873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  <w:t>（二）专项转移支付收入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一般公共服务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万元；科学技术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万元；社会保障和就业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2659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卫生健康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1818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万元；农林水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万元；资源勘探信息等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1888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住房保障30万元；灾害防治及应急管理79万元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2022年我区一般公共预算结转资金为31760万元，主要是上级专项转移支付资金结转，包括：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一般公共服务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公共安全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574万元；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教育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2432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万元；科学技术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文化旅游体育与传媒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298万元；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社会保障和就业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4730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卫生健康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11863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万元；节能环保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156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万元；农林水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844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交通运输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197万元；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资源勘探信息等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2847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商业服务业等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1932万元；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住房保障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5689万元；灾害防治及应急管理52万元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二、政府性基金预算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2022年我区收到上级补助收入883万元，全部为专项补助。2022年我区政府性基金预算结转资金为20347万元，全部为上级专项转移支付资金结转。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国有资本经营预算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2022年我区收到上级补助收入1267万元，全部为专项补助。2022年我区国有资本经营预算结转资金为3516万元，全部为上级专项转移支付资金结转。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B03FC5"/>
    <w:multiLevelType w:val="singleLevel"/>
    <w:tmpl w:val="E9B03FC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199A67"/>
    <w:multiLevelType w:val="singleLevel"/>
    <w:tmpl w:val="03199A67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DdlNDlhZGU5ZmQ3N2VlZjBjYzQxYzE2NWRiMzMifQ=="/>
  </w:docVars>
  <w:rsids>
    <w:rsidRoot w:val="5BA06D0A"/>
    <w:rsid w:val="01021C19"/>
    <w:rsid w:val="17662C21"/>
    <w:rsid w:val="3D1E7EBC"/>
    <w:rsid w:val="5BA06D0A"/>
    <w:rsid w:val="6617761E"/>
    <w:rsid w:val="69173A18"/>
    <w:rsid w:val="6BC96264"/>
    <w:rsid w:val="6F9B794F"/>
    <w:rsid w:val="7BC87B5E"/>
    <w:rsid w:val="7CF97B3A"/>
    <w:rsid w:val="7FAC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2023-04-07T07:44:00Z</dcterms:created>
  <dc:creator>Administrator</dc:creator>
  <cp:lastModifiedBy>尘尘郁夏伊</cp:lastModifiedBy>
  <cp:lastPrinted>2013-03-25T15:07:00Z</cp:lastPrinted>
  <dcterms:modified xsi:type="dcterms:W3CDTF">2023-11-02T07:43:11Z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30A9F913F3294EA7AFDF759B84075145</vt:lpwstr>
  </property>
</Properties>
</file>