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napToGrid w:val="0"/>
        <w:spacing w:line="480" w:lineRule="auto"/>
        <w:jc w:val="both"/>
        <w:textAlignment w:val="auto"/>
        <w:rPr>
          <w:rFonts w:hint="default" w:ascii="仿宋" w:hAnsi="仿宋" w:eastAsia="仿宋" w:cs="仿宋"/>
          <w:kern w:val="2"/>
          <w:sz w:val="28"/>
          <w:szCs w:val="28"/>
          <w:lang w:val="en-US" w:eastAsia="zh-CN" w:bidi="ar-SA"/>
        </w:rPr>
      </w:pPr>
      <w:bookmarkStart w:id="0" w:name="_GoBack"/>
      <w:r>
        <w:rPr>
          <w:rFonts w:hint="default" w:ascii="Times New Roman" w:hAnsi="Times New Roman" w:eastAsia="方正黑体_GBK" w:cs="Times New Roman"/>
          <w:kern w:val="2"/>
          <w:sz w:val="32"/>
          <w:szCs w:val="32"/>
          <w:lang w:val="en-US" w:eastAsia="zh-CN" w:bidi="ar-SA"/>
        </w:rPr>
        <w:t>事项名称：</w:t>
      </w:r>
      <w:r>
        <w:rPr>
          <w:rFonts w:hint="default" w:ascii="仿宋" w:hAnsi="仿宋" w:eastAsia="仿宋" w:cs="仿宋"/>
          <w:color w:val="auto"/>
          <w:kern w:val="2"/>
          <w:sz w:val="28"/>
          <w:szCs w:val="28"/>
          <w:u w:val="none"/>
          <w:lang w:val="en-US" w:eastAsia="zh-CN" w:bidi="ar-SA"/>
        </w:rPr>
        <w:t>设置大型户外广告及在城市建筑物、设施上悬挂、张贴宣传品审批</w:t>
      </w:r>
    </w:p>
    <w:p>
      <w:pPr>
        <w:pStyle w:val="2"/>
        <w:keepNext w:val="0"/>
        <w:keepLines w:val="0"/>
        <w:pageBreakBefore w:val="0"/>
        <w:kinsoku/>
        <w:overflowPunct/>
        <w:topLinePunct w:val="0"/>
        <w:autoSpaceDE/>
        <w:autoSpaceDN/>
        <w:bidi w:val="0"/>
        <w:adjustRightInd/>
        <w:snapToGrid w:val="0"/>
        <w:spacing w:line="480" w:lineRule="auto"/>
        <w:jc w:val="both"/>
        <w:textAlignment w:val="auto"/>
        <w:rPr>
          <w:rFonts w:hint="default"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子事项名称：</w:t>
      </w:r>
      <w:r>
        <w:rPr>
          <w:rFonts w:hint="eastAsia" w:ascii="仿宋" w:hAnsi="仿宋" w:eastAsia="仿宋" w:cs="仿宋"/>
          <w:kern w:val="2"/>
          <w:sz w:val="28"/>
          <w:szCs w:val="28"/>
          <w:lang w:val="en-US" w:eastAsia="zh-CN" w:bidi="ar-SA"/>
        </w:rPr>
        <w:t>无</w:t>
      </w:r>
    </w:p>
    <w:p>
      <w:pPr>
        <w:pStyle w:val="2"/>
        <w:keepNext w:val="0"/>
        <w:keepLines w:val="0"/>
        <w:pageBreakBefore w:val="0"/>
        <w:widowControl w:val="0"/>
        <w:kinsoku/>
        <w:wordWrap w:val="0"/>
        <w:overflowPunct/>
        <w:topLinePunct w:val="0"/>
        <w:autoSpaceDE/>
        <w:autoSpaceDN/>
        <w:bidi w:val="0"/>
        <w:adjustRightInd/>
        <w:snapToGrid w:val="0"/>
        <w:spacing w:line="480" w:lineRule="auto"/>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事项类型：</w:t>
      </w:r>
      <w:r>
        <w:rPr>
          <w:rFonts w:hint="eastAsia" w:ascii="仿宋" w:hAnsi="仿宋" w:eastAsia="仿宋" w:cs="仿宋"/>
          <w:kern w:val="2"/>
          <w:sz w:val="28"/>
          <w:szCs w:val="28"/>
          <w:lang w:val="en-US" w:eastAsia="zh-CN" w:bidi="ar-SA"/>
        </w:rPr>
        <w:t>行政许可</w:t>
      </w:r>
    </w:p>
    <w:p>
      <w:pPr>
        <w:pStyle w:val="2"/>
        <w:keepNext w:val="0"/>
        <w:keepLines w:val="0"/>
        <w:pageBreakBefore w:val="0"/>
        <w:widowControl w:val="0"/>
        <w:kinsoku/>
        <w:wordWrap w:val="0"/>
        <w:overflowPunct/>
        <w:topLinePunct w:val="0"/>
        <w:autoSpaceDE/>
        <w:autoSpaceDN/>
        <w:bidi w:val="0"/>
        <w:adjustRightInd/>
        <w:snapToGrid w:val="0"/>
        <w:spacing w:line="480" w:lineRule="auto"/>
        <w:jc w:val="left"/>
        <w:textAlignment w:val="auto"/>
        <w:rPr>
          <w:rFonts w:hint="eastAsia"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实施主体：</w:t>
      </w:r>
      <w:r>
        <w:rPr>
          <w:rFonts w:hint="eastAsia" w:ascii="仿宋" w:hAnsi="仿宋" w:eastAsia="仿宋" w:cs="仿宋"/>
          <w:kern w:val="2"/>
          <w:sz w:val="28"/>
          <w:szCs w:val="28"/>
          <w:lang w:val="en-US" w:eastAsia="zh-CN" w:bidi="ar-SA"/>
        </w:rPr>
        <w:t>乌鲁木齐高新区（新市区）城市管理局</w:t>
      </w:r>
    </w:p>
    <w:p>
      <w:pPr>
        <w:pStyle w:val="2"/>
        <w:keepNext w:val="0"/>
        <w:keepLines w:val="0"/>
        <w:pageBreakBefore w:val="0"/>
        <w:widowControl w:val="0"/>
        <w:kinsoku/>
        <w:wordWrap w:val="0"/>
        <w:overflowPunct/>
        <w:topLinePunct w:val="0"/>
        <w:autoSpaceDE/>
        <w:autoSpaceDN/>
        <w:bidi w:val="0"/>
        <w:adjustRightInd/>
        <w:snapToGrid w:val="0"/>
        <w:spacing w:line="480" w:lineRule="auto"/>
        <w:jc w:val="left"/>
        <w:textAlignment w:val="auto"/>
        <w:rPr>
          <w:rFonts w:hint="default"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办件类型：</w:t>
      </w:r>
      <w:r>
        <w:rPr>
          <w:rFonts w:hint="eastAsia" w:ascii="仿宋" w:hAnsi="仿宋" w:eastAsia="仿宋" w:cs="仿宋"/>
          <w:kern w:val="2"/>
          <w:sz w:val="28"/>
          <w:szCs w:val="28"/>
          <w:lang w:val="en-US" w:eastAsia="zh-CN" w:bidi="ar-SA"/>
        </w:rPr>
        <w:t>承诺件</w:t>
      </w:r>
    </w:p>
    <w:p>
      <w:pPr>
        <w:pStyle w:val="2"/>
        <w:keepNext w:val="0"/>
        <w:keepLines w:val="0"/>
        <w:pageBreakBefore w:val="0"/>
        <w:widowControl w:val="0"/>
        <w:kinsoku/>
        <w:wordWrap w:val="0"/>
        <w:overflowPunct/>
        <w:topLinePunct w:val="0"/>
        <w:autoSpaceDE/>
        <w:autoSpaceDN/>
        <w:bidi w:val="0"/>
        <w:adjustRightInd/>
        <w:snapToGrid w:val="0"/>
        <w:spacing w:line="480" w:lineRule="auto"/>
        <w:jc w:val="left"/>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承诺办结时限：</w:t>
      </w:r>
      <w:r>
        <w:rPr>
          <w:rFonts w:hint="eastAsia" w:ascii="Times New Roman" w:hAnsi="Times New Roman" w:eastAsia="方正黑体_GBK" w:cs="Times New Roman"/>
          <w:kern w:val="2"/>
          <w:sz w:val="32"/>
          <w:szCs w:val="32"/>
          <w:lang w:val="en-US" w:eastAsia="zh-CN" w:bidi="ar-SA"/>
        </w:rPr>
        <w:t>2</w:t>
      </w:r>
      <w:r>
        <w:rPr>
          <w:rFonts w:hint="eastAsia" w:ascii="仿宋" w:hAnsi="仿宋" w:eastAsia="仿宋" w:cs="仿宋"/>
          <w:kern w:val="2"/>
          <w:sz w:val="28"/>
          <w:szCs w:val="28"/>
          <w:lang w:val="en-US" w:eastAsia="zh-CN" w:bidi="ar-SA"/>
        </w:rPr>
        <w:t>个工作日</w:t>
      </w:r>
    </w:p>
    <w:p>
      <w:pPr>
        <w:keepNext w:val="0"/>
        <w:keepLines w:val="0"/>
        <w:pageBreakBefore w:val="0"/>
        <w:widowControl w:val="0"/>
        <w:kinsoku/>
        <w:wordWrap/>
        <w:overflowPunct/>
        <w:topLinePunct w:val="0"/>
        <w:autoSpaceDE/>
        <w:autoSpaceDN/>
        <w:bidi w:val="0"/>
        <w:adjustRightInd/>
        <w:snapToGrid w:val="0"/>
        <w:spacing w:line="480" w:lineRule="auto"/>
        <w:jc w:val="both"/>
        <w:textAlignment w:val="auto"/>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申请条件：</w:t>
      </w:r>
      <w:r>
        <w:rPr>
          <w:rFonts w:hint="eastAsia" w:ascii="仿宋" w:hAnsi="仿宋" w:eastAsia="仿宋" w:cs="仿宋"/>
          <w:kern w:val="2"/>
          <w:sz w:val="28"/>
          <w:szCs w:val="28"/>
          <w:lang w:val="en-US" w:eastAsia="zh-CN" w:bidi="ar-SA"/>
        </w:rPr>
        <w:t>1、不属于禁止设置户外广告设施的情形； 2、符合户外广告设施设置技术规范； 3、符合乌鲁木齐市户外广告设施空间布局规划； 4、符合城镇户外广告设施设置规程； 5、合理布局，并与周围环境相协调； 6、其他法律、法规、规章规定的条件。"</w:t>
      </w:r>
    </w:p>
    <w:p>
      <w:pPr>
        <w:keepNext w:val="0"/>
        <w:keepLines w:val="0"/>
        <w:pageBreakBefore w:val="0"/>
        <w:widowControl w:val="0"/>
        <w:kinsoku/>
        <w:wordWrap/>
        <w:overflowPunct/>
        <w:topLinePunct w:val="0"/>
        <w:autoSpaceDE/>
        <w:autoSpaceDN/>
        <w:bidi w:val="0"/>
        <w:adjustRightInd/>
        <w:snapToGrid w:val="0"/>
        <w:spacing w:before="0" w:beforeLines="0" w:after="0" w:afterLines="0" w:line="480" w:lineRule="auto"/>
        <w:ind w:right="0" w:rightChars="0"/>
        <w:textAlignment w:val="auto"/>
        <w:outlineLvl w:val="9"/>
        <w:rPr>
          <w:rFonts w:hint="eastAsia" w:ascii="仿宋" w:hAnsi="仿宋" w:eastAsia="仿宋" w:cs="仿宋"/>
          <w:kern w:val="2"/>
          <w:sz w:val="28"/>
          <w:szCs w:val="28"/>
          <w:lang w:val="en-US" w:eastAsia="zh-CN" w:bidi="ar-SA"/>
        </w:rPr>
      </w:pPr>
      <w:r>
        <w:rPr>
          <w:rFonts w:hint="default" w:ascii="Times New Roman" w:hAnsi="Times New Roman" w:eastAsia="方正黑体_GBK" w:cs="Times New Roman"/>
          <w:kern w:val="2"/>
          <w:sz w:val="32"/>
          <w:szCs w:val="32"/>
          <w:lang w:val="en-US" w:eastAsia="zh-CN" w:bidi="ar-SA"/>
        </w:rPr>
        <w:t>办理材料：</w:t>
      </w:r>
      <w:r>
        <w:rPr>
          <w:rFonts w:hint="eastAsia" w:ascii="Times New Roman" w:hAnsi="Times New Roman" w:eastAsia="方正黑体_GBK" w:cs="Times New Roman"/>
          <w:kern w:val="2"/>
          <w:sz w:val="32"/>
          <w:szCs w:val="32"/>
          <w:lang w:val="en-US" w:eastAsia="zh-CN" w:bidi="ar-SA"/>
        </w:rPr>
        <w:t>1、</w:t>
      </w:r>
      <w:r>
        <w:rPr>
          <w:rFonts w:hint="eastAsia" w:ascii="仿宋" w:hAnsi="仿宋" w:eastAsia="仿宋" w:cs="仿宋"/>
          <w:kern w:val="2"/>
          <w:sz w:val="28"/>
          <w:szCs w:val="28"/>
          <w:lang w:val="en-US" w:eastAsia="zh-CN" w:bidi="ar-SA"/>
        </w:rPr>
        <w:t>乌鲁木齐市户外广告设施设置的拍卖成交确认书及缴清拍卖成交价款的证明。户外广告设施正立面设计图、彩色效果图。2、法定代表人身份证复印件。申请设置人的营业执照或者其证明主体资格合法有效的文件。委托代理人身份证复印件。3、搭建户外广告架的，应当附具有相应资质的设计单位出具的技术和安全保证资料</w:t>
      </w:r>
    </w:p>
    <w:p>
      <w:pPr>
        <w:keepNext w:val="0"/>
        <w:keepLines w:val="0"/>
        <w:pageBreakBefore w:val="0"/>
        <w:kinsoku/>
        <w:overflowPunct/>
        <w:topLinePunct w:val="0"/>
        <w:autoSpaceDE/>
        <w:autoSpaceDN/>
        <w:bidi w:val="0"/>
        <w:adjustRightInd/>
        <w:snapToGrid w:val="0"/>
        <w:spacing w:line="480" w:lineRule="auto"/>
        <w:textAlignment w:val="auto"/>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pPr>
      <w:r>
        <w:rPr>
          <w:rFonts w:hint="default" w:ascii="Times New Roman" w:hAnsi="Times New Roman" w:eastAsia="方正黑体_GBK" w:cs="Times New Roman"/>
          <w:kern w:val="2"/>
          <w:sz w:val="32"/>
          <w:szCs w:val="32"/>
          <w:lang w:val="en-US" w:eastAsia="zh-CN" w:bidi="ar-SA"/>
        </w:rPr>
        <w:t>办理流程</w:t>
      </w:r>
      <w:r>
        <w:rPr>
          <w:rFonts w:hint="eastAsia" w:ascii="Times New Roman" w:hAnsi="Times New Roman" w:eastAsia="方正黑体_GBK" w:cs="Times New Roman"/>
          <w:kern w:val="2"/>
          <w:sz w:val="32"/>
          <w:szCs w:val="32"/>
          <w:lang w:val="en-US" w:eastAsia="zh-CN" w:bidi="ar-SA"/>
        </w:rPr>
        <w:t>：</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1.申请 申请人</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登录新疆政务服务网</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向</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高新区（新市区）城市管理局</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窗口提出申请，</w:t>
      </w:r>
      <w:r>
        <w:rPr>
          <w:rStyle w:val="6"/>
          <w:rFonts w:hint="eastAsia"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t>或到乌鲁木齐市四平路2288号创新广场政务服务中心大厅城市管理局窗口现场提交或邮寄申请材料。2.受理 接件受理人员收到申请人的申请材料后，根据申请材料进行审核，审核无误后予以当场正式受理，出具《业务受理回执》。对材料不符合的，当场一次性告知申请人补正材料。对申请人不具备申请条件或资格的，出具《不予受理通知书》。 3.审核 业务科室承办人在受理后对材料进行审核，特殊情况及时联系相关工作人员进行现场勘查。在1个工作日内作出是否批准的决定。 4.审批 局领导在1个工作日内</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提出审批意见，作出审批决定。 5.办结 承办人在审批决定作出后即可办结，符合审批条件的，出具批准许可决定，加盖实施机关印章。不符合审批条件的，出具《不予通过决定书》。 6.送达 承办人在证件或批复作出后，办理结果将以短信的形式通知申请人，有纸质证件或批复的，申请人可选择现场领取或邮寄送达。</w:t>
      </w:r>
    </w:p>
    <w:p>
      <w:pPr>
        <w:pStyle w:val="2"/>
        <w:keepNext w:val="0"/>
        <w:keepLines w:val="0"/>
        <w:pageBreakBefore w:val="0"/>
        <w:widowControl w:val="0"/>
        <w:kinsoku/>
        <w:wordWrap w:val="0"/>
        <w:overflowPunct/>
        <w:topLinePunct w:val="0"/>
        <w:autoSpaceDE/>
        <w:autoSpaceDN/>
        <w:bidi w:val="0"/>
        <w:adjustRightInd/>
        <w:snapToGrid w:val="0"/>
        <w:spacing w:line="480" w:lineRule="auto"/>
        <w:jc w:val="left"/>
        <w:textAlignment w:val="auto"/>
        <w:rPr>
          <w:rStyle w:val="6"/>
          <w:rFonts w:hint="default" w:ascii="仿宋" w:hAnsi="仿宋" w:eastAsia="仿宋" w:cs="仿宋"/>
          <w:i w:val="0"/>
          <w:iCs w:val="0"/>
          <w:caps w:val="0"/>
          <w:color w:val="000000" w:themeColor="text1"/>
          <w:spacing w:val="0"/>
          <w:sz w:val="28"/>
          <w:szCs w:val="28"/>
          <w:u w:val="none"/>
          <w:shd w:val="clear" w:fill="FFFFFF"/>
          <w:lang w:val="en-US" w:eastAsia="zh-CN"/>
          <w14:textFill>
            <w14:solidFill>
              <w14:schemeClr w14:val="tx1"/>
            </w14:solidFill>
          </w14:textFill>
        </w:rPr>
      </w:pPr>
      <w:r>
        <w:rPr>
          <w:rFonts w:hint="eastAsia" w:ascii="Times New Roman" w:hAnsi="Times New Roman" w:eastAsia="方正黑体_GBK" w:cs="Times New Roman"/>
          <w:kern w:val="2"/>
          <w:sz w:val="32"/>
          <w:szCs w:val="32"/>
          <w:lang w:val="en-US" w:eastAsia="zh-CN" w:bidi="ar-SA"/>
        </w:rPr>
        <w:t>收费标准：</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根据地段、广告形式不同，收费标准不同。 按照类别来说（1）高立柱广告：人流车流集中地收费为（元/</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平方米</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/年）100、人流车流一般地区80、其他地区60；（2）大型落地式广告：人流车流集中地收费为（元/</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平方米</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/年）100、人流车流一般地区80、其他地区60；（3）落地三面翻广告：人流车流集中地收费为（元/</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平方米</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/年）150、人流车流一般地区120、其他地区100；（4）楼顶（楼体）广告：人流车流集中地收费为（元/</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平方米</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年）100、人流车流一般地区80、其他地区60；（5）车体广告（公共大巴车）人流车流集中地收费为（元/辆/年）3000；（6）车体广告（公共中巴车）人流车流集中地收费为（元/辆/年）1000；（7）车体广告（小轿车）人流车流集中地收费为（元/辆/年）300；（8）</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电子显示屏</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：人流车流集中地收费为（元/</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平方米</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/年）150、人流车流一般地区120、其他地区100；（9）落地箱广告：人流车流集中地收费为（元/个/年）300、人流车流一般地区200、其他地区120；（10）桥体广告：人流车流集中地收费为（元/</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平方米</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年）100、人流车流一般地区80、其他地区60；（11）公共汽车候车亭：人流车流集中地收费为（元/个/年）500、人流车流一般地区450、其他地区400；（12）：书报亭：人流车流集中地收费为（元/个/年）200、人流车流一般地区180、其他地区160；（13）公用电话亭：人流车流集中地收费为（元/个/年）50、人流车流一般地区40、其他地区30；（14）：电力杆、路灯杆：人流车流集中地收费为（元/基/年）220、人流车流一般地区200、其他地区180；（15）：大型布幅：人流车流集中地收费为（元/</w:t>
      </w:r>
      <w:r>
        <w:rPr>
          <w:rStyle w:val="6"/>
          <w:rFonts w:hint="eastAsia" w:ascii="仿宋" w:hAnsi="仿宋" w:eastAsia="仿宋" w:cs="仿宋"/>
          <w:i w:val="0"/>
          <w:iCs w:val="0"/>
          <w:caps w:val="0"/>
          <w:color w:val="000000" w:themeColor="text1"/>
          <w:spacing w:val="0"/>
          <w:sz w:val="28"/>
          <w:szCs w:val="28"/>
          <w:u w:val="none"/>
          <w:shd w:val="clear" w:fill="FFFFFF"/>
          <w:lang w:eastAsia="zh-CN"/>
          <w14:textFill>
            <w14:solidFill>
              <w14:schemeClr w14:val="tx1"/>
            </w14:solidFill>
          </w14:textFill>
        </w:rPr>
        <w:t>平方米</w:t>
      </w:r>
      <w:r>
        <w:rPr>
          <w:rStyle w:val="6"/>
          <w:rFonts w:hint="eastAsia" w:ascii="仿宋" w:hAnsi="仿宋" w:eastAsia="仿宋" w:cs="仿宋"/>
          <w:i w:val="0"/>
          <w:iCs w:val="0"/>
          <w:caps w:val="0"/>
          <w:color w:val="000000" w:themeColor="text1"/>
          <w:spacing w:val="0"/>
          <w:sz w:val="28"/>
          <w:szCs w:val="28"/>
          <w:u w:val="none"/>
          <w:shd w:val="clear" w:fill="FFFFFF"/>
          <w14:textFill>
            <w14:solidFill>
              <w14:schemeClr w14:val="tx1"/>
            </w14:solidFill>
          </w14:textFill>
        </w:rPr>
        <w:t>/10天）4、人流车流一般地区3、其他地区2；（16）：布标条幅、刀旗（彩旗）等：人流车流集中地收费为（元/条（个）/10天）6、人流车流一般地区5、其他地区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val="0"/>
        <w:spacing w:before="0" w:beforeAutospacing="0" w:after="0" w:afterAutospacing="0" w:line="480" w:lineRule="auto"/>
        <w:ind w:left="0" w:right="0" w:firstLine="0"/>
        <w:jc w:val="left"/>
        <w:textAlignment w:val="auto"/>
        <w:rPr>
          <w:rFonts w:hint="default" w:ascii="仿宋" w:hAnsi="仿宋" w:eastAsia="仿宋" w:cs="仿宋"/>
          <w:kern w:val="2"/>
          <w:sz w:val="28"/>
          <w:szCs w:val="28"/>
          <w:lang w:val="en-US" w:eastAsia="zh-CN" w:bidi="ar-SA"/>
        </w:rPr>
      </w:pPr>
      <w:r>
        <w:rPr>
          <w:rFonts w:hint="eastAsia" w:ascii="Times New Roman" w:hAnsi="Times New Roman" w:eastAsia="方正黑体_GBK" w:cs="Times New Roman"/>
          <w:kern w:val="2"/>
          <w:sz w:val="32"/>
          <w:szCs w:val="32"/>
          <w:lang w:val="en-US" w:eastAsia="zh-CN" w:bidi="ar-SA"/>
        </w:rPr>
        <w:t>设定依据：</w:t>
      </w:r>
      <w:r>
        <w:rPr>
          <w:rFonts w:hint="default" w:ascii="仿宋" w:hAnsi="仿宋" w:eastAsia="仿宋" w:cs="仿宋"/>
          <w:kern w:val="2"/>
          <w:sz w:val="28"/>
          <w:szCs w:val="28"/>
          <w:lang w:val="en-US" w:eastAsia="zh-CN" w:bidi="ar-SA"/>
        </w:rPr>
        <w:t>设定依据1</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法律法规名称：《城市市容和环境卫生管理条例》</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依据文号：1992年6月28日国务院令第101号，2011年1月1日予以修改</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条款号：第十一条、第十七条</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条款内容：《城市市容和环境卫生管理条例》（1992年6月28日国务院令第101号，2011年1月1日予以修改）第十一条：……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p>
    <w:p>
      <w:pPr>
        <w:pStyle w:val="2"/>
        <w:keepNext w:val="0"/>
        <w:keepLines w:val="0"/>
        <w:pageBreakBefore w:val="0"/>
        <w:kinsoku/>
        <w:overflowPunct/>
        <w:topLinePunct w:val="0"/>
        <w:autoSpaceDE/>
        <w:autoSpaceDN/>
        <w:bidi w:val="0"/>
        <w:adjustRightInd/>
        <w:snapToGrid w:val="0"/>
        <w:spacing w:line="480" w:lineRule="auto"/>
        <w:textAlignment w:val="auto"/>
        <w:rPr>
          <w:rFonts w:hint="eastAsia" w:ascii="仿宋" w:hAnsi="仿宋" w:eastAsia="仿宋" w:cs="仿宋"/>
          <w:kern w:val="2"/>
          <w:sz w:val="28"/>
          <w:szCs w:val="28"/>
          <w:lang w:val="en-US" w:eastAsia="zh-CN" w:bidi="ar-SA"/>
        </w:rPr>
      </w:pPr>
    </w:p>
    <w:p>
      <w:pPr>
        <w:keepNext w:val="0"/>
        <w:keepLines w:val="0"/>
        <w:pageBreakBefore w:val="0"/>
        <w:kinsoku/>
        <w:overflowPunct/>
        <w:topLinePunct w:val="0"/>
        <w:autoSpaceDE/>
        <w:autoSpaceDN/>
        <w:bidi w:val="0"/>
        <w:adjustRightInd/>
        <w:snapToGrid w:val="0"/>
        <w:spacing w:line="480" w:lineRule="auto"/>
        <w:textAlignment w:val="auto"/>
        <w:rPr>
          <w:rFonts w:hint="eastAsia" w:ascii="仿宋" w:hAnsi="仿宋" w:eastAsia="仿宋" w:cs="仿宋"/>
          <w:kern w:val="2"/>
          <w:sz w:val="28"/>
          <w:szCs w:val="28"/>
          <w:lang w:val="en-US" w:eastAsia="zh-CN" w:bidi="ar-SA"/>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be0bb79e-7d04-46bd-895a-720c239ffdac"/>
  </w:docVars>
  <w:rsids>
    <w:rsidRoot w:val="1F706BC1"/>
    <w:rsid w:val="01883901"/>
    <w:rsid w:val="01932C83"/>
    <w:rsid w:val="072440CC"/>
    <w:rsid w:val="0B925AA8"/>
    <w:rsid w:val="0CAE6912"/>
    <w:rsid w:val="10B22749"/>
    <w:rsid w:val="10F559D5"/>
    <w:rsid w:val="15211C4B"/>
    <w:rsid w:val="17187217"/>
    <w:rsid w:val="1C005AAF"/>
    <w:rsid w:val="1E111B80"/>
    <w:rsid w:val="1F706BC1"/>
    <w:rsid w:val="248F2C92"/>
    <w:rsid w:val="274E5F7E"/>
    <w:rsid w:val="2A191AF7"/>
    <w:rsid w:val="2BF100C5"/>
    <w:rsid w:val="2DEC5CA5"/>
    <w:rsid w:val="2F464330"/>
    <w:rsid w:val="2FFB336C"/>
    <w:rsid w:val="30094F27"/>
    <w:rsid w:val="36AF4EB1"/>
    <w:rsid w:val="384B6479"/>
    <w:rsid w:val="393E45F6"/>
    <w:rsid w:val="3E444130"/>
    <w:rsid w:val="3EA11583"/>
    <w:rsid w:val="41625B5F"/>
    <w:rsid w:val="43210EE4"/>
    <w:rsid w:val="436F1C50"/>
    <w:rsid w:val="44BE2E8F"/>
    <w:rsid w:val="44F55906"/>
    <w:rsid w:val="459D0769"/>
    <w:rsid w:val="4B7F0E9E"/>
    <w:rsid w:val="4EC50DDF"/>
    <w:rsid w:val="55F83D27"/>
    <w:rsid w:val="56532C16"/>
    <w:rsid w:val="58550FBC"/>
    <w:rsid w:val="5B8F50C8"/>
    <w:rsid w:val="5D6F5026"/>
    <w:rsid w:val="5FC15189"/>
    <w:rsid w:val="628030DA"/>
    <w:rsid w:val="62B80AC5"/>
    <w:rsid w:val="66C57D6D"/>
    <w:rsid w:val="6E281E1C"/>
    <w:rsid w:val="6F437969"/>
    <w:rsid w:val="72D60AF4"/>
    <w:rsid w:val="79F20909"/>
    <w:rsid w:val="7C9E21E2"/>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28"/>
      <w:szCs w:val="28"/>
      <w:lang w:val="zh-CN" w:eastAsia="zh-CN" w:bidi="zh-CN"/>
    </w:rPr>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1736</Words>
  <Characters>1837</Characters>
  <Lines>0</Lines>
  <Paragraphs>0</Paragraphs>
  <TotalTime>2</TotalTime>
  <ScaleCrop>false</ScaleCrop>
  <LinksUpToDate>false</LinksUpToDate>
  <CharactersWithSpaces>1853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2022-03-28T09:48:00Z</dcterms:created>
  <dc:creator>未定义</dc:creator>
  <cp:lastModifiedBy>峰</cp:lastModifiedBy>
  <dcterms:modified xsi:type="dcterms:W3CDTF">2023-02-28T10:09:30Z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ED2CFBB3F94040F5A2D28949C17E16F7</vt:lpwstr>
  </property>
</Properties>
</file>