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auto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事项名称：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  <w:t>城市建筑垃圾处置核准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auto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子事项名称：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无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事项类型：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行政许可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实施主体：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乌鲁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木齐高新区（新市区）城市管理局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办件类型：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承诺件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承诺办结时限：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申请条件：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申请人是依法注册的企业法人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80" w:lineRule="auto"/>
        <w:ind w:right="0" w:rightChars="0"/>
        <w:textAlignment w:val="auto"/>
        <w:outlineLvl w:val="9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办理材料：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法定代表人身份证复印件。单位营业执照（或组织机构代码证）复印件。单位法人身份证明。行政许可申请书。授权委托书。委托代理人身份证复印件。2、土地权属及用途证明。提交全部运输车辆的车辆行驶证。环境卫生和安全管理制度。3、建筑垃圾消纳场的场地平面图，进场路线图。摊铺、碾压、照明设备一览表。建筑垃圾分类处置的方案和对废混凝土、金属、木材等回收利用的方案。4、道路运输经营许可证。计算建筑垃圾处置量所需的图纸。运输车辆运营、安全、质量、保养、行政管理制度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textAlignment w:val="auto"/>
        <w:rPr>
          <w:rStyle w:val="6"/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办理流程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1.申请 申请人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登录新疆政务服务网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向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高新区（新市区）城市管理局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窗口提出申请，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或到乌鲁木齐市四平路2288号创新广场政务服务中心大厅城市管理局窗口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现场提交或邮寄申请材料。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 </w:t>
      </w:r>
      <w:r>
        <w:rPr>
          <w:rStyle w:val="6"/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2.受理 接件受理人员收到申请人的申请材料后，根据申请材料在0.5个工作日内进行审核，审核无误后予以当场正式受理，出具《业务受理回执》。对材料不符合的，当场一次性告知申请人补正材料。对申请人不具备申请条件或资格的，出具《不予受理通知书》。 3.审查 清运队工作人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员</w:t>
      </w:r>
      <w:r>
        <w:rPr>
          <w:rStyle w:val="6"/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进行现场勘察核量且对申请材料相关图纸复核，在1.5个工作日内给出现场勘察意见 4.审批 窗口科室负责人在1个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Style w:val="6"/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日内作出审批决定。 5.办结 承办人在审批决定作出之日作出办结决定，符合审批条件的，出具批准许可决定，加盖实施机关印章。不符合审批条件的，出具《不予通过决定书》。 6.送达 承办人在证件作出后，办理结果将以短信的形式通知申请人，有纸质证件，申请人可选择现场领取或邮寄送达。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收费标准：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2元/吨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设定依据：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设定依据1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：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法律法规名称：《国务院对确需保留的行政审批项目设定行政许可的决定》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依据文号：2004年6月29日国务院令第412号，2009年1月29日予以修改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条款号：附件第101项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条款内容：《国务院对确需保留的行政审批项目设定行政许可的决定》（2004年6月29日国务院令第412号，2009年1月29日予以修改）附件第101项：城市建筑垃圾处置核准，实施机关：城市人民政府市容环境卫生行政主管部门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  <w:docVar w:name="KSO_WPS_MARK_KEY" w:val="c2077cf3-946a-4b4b-a9d6-2630860e567a"/>
  </w:docVars>
  <w:rsids>
    <w:rsidRoot w:val="6D9E3ABC"/>
    <w:rsid w:val="007756C4"/>
    <w:rsid w:val="054B028B"/>
    <w:rsid w:val="0BDA2B95"/>
    <w:rsid w:val="0D18690A"/>
    <w:rsid w:val="0D991370"/>
    <w:rsid w:val="0FD97B57"/>
    <w:rsid w:val="13896424"/>
    <w:rsid w:val="1AF23E6D"/>
    <w:rsid w:val="1BE614F8"/>
    <w:rsid w:val="1E5F5CBE"/>
    <w:rsid w:val="22E22A19"/>
    <w:rsid w:val="298E7457"/>
    <w:rsid w:val="29E5649A"/>
    <w:rsid w:val="311C61AD"/>
    <w:rsid w:val="312D37AB"/>
    <w:rsid w:val="3AC548D9"/>
    <w:rsid w:val="3C1C4D96"/>
    <w:rsid w:val="3CB23005"/>
    <w:rsid w:val="41E579D9"/>
    <w:rsid w:val="48897310"/>
    <w:rsid w:val="4953791E"/>
    <w:rsid w:val="569A7306"/>
    <w:rsid w:val="5A623E64"/>
    <w:rsid w:val="5BEA2363"/>
    <w:rsid w:val="5C677510"/>
    <w:rsid w:val="5F645F89"/>
    <w:rsid w:val="5F775CBC"/>
    <w:rsid w:val="68246BFD"/>
    <w:rsid w:val="6C41672A"/>
    <w:rsid w:val="6D9E3ABC"/>
    <w:rsid w:val="70FD1A16"/>
    <w:rsid w:val="7EF2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28"/>
      <w:szCs w:val="28"/>
      <w:lang w:val="zh-CN" w:eastAsia="zh-CN" w:bidi="zh-CN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940</Characters>
  <Lines>0</Lines>
  <Paragraphs>0</Paragraphs>
  <TotalTime>22</TotalTime>
  <ScaleCrop>false</ScaleCrop>
  <LinksUpToDate>false</LinksUpToDate>
  <CharactersWithSpaces>951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2022-03-28T09:48:00Z</dcterms:created>
  <dc:creator>未定义</dc:creator>
  <cp:lastModifiedBy>峰</cp:lastModifiedBy>
  <dcterms:modified xsi:type="dcterms:W3CDTF">2023-02-28T10:04:24Z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8EF00D17EBF24BD9A9D1A5ED1E954F86</vt:lpwstr>
  </property>
</Properties>
</file>